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A01D3">
      <w:pPr>
        <w:pStyle w:val="2"/>
        <w:jc w:val="left"/>
        <w:rPr>
          <w:rFonts w:ascii="方正公文小标宋" w:eastAsia="方正公文小标宋"/>
          <w:b w:val="0"/>
          <w:sz w:val="84"/>
          <w:szCs w:val="84"/>
          <w:lang w:eastAsia="zh-CN"/>
        </w:rPr>
      </w:pPr>
    </w:p>
    <w:p w14:paraId="4183A9C6">
      <w:pPr>
        <w:pStyle w:val="2"/>
        <w:jc w:val="left"/>
        <w:rPr>
          <w:rFonts w:ascii="方正公文小标宋" w:eastAsia="方正公文小标宋"/>
          <w:b w:val="0"/>
          <w:sz w:val="84"/>
          <w:szCs w:val="84"/>
          <w:lang w:eastAsia="zh-CN"/>
        </w:rPr>
      </w:pPr>
    </w:p>
    <w:p w14:paraId="2AEA2224">
      <w:pPr>
        <w:adjustRightInd/>
        <w:snapToGrid/>
        <w:spacing w:before="0" w:beforeLines="0" w:after="0" w:afterLines="0"/>
        <w:jc w:val="center"/>
        <w:rPr>
          <w:rFonts w:hint="eastAsia" w:ascii="Times New Roman" w:hAnsi="方正公文小标宋" w:eastAsia="方正公文小标宋"/>
          <w:snapToGrid/>
          <w:kern w:val="0"/>
          <w:sz w:val="84"/>
          <w:szCs w:val="84"/>
        </w:rPr>
      </w:pPr>
      <w:bookmarkStart w:id="12" w:name="_GoBack"/>
      <w:r>
        <w:rPr>
          <w:rFonts w:hint="eastAsia" w:ascii="Times New Roman" w:hAnsi="方正公文小标宋" w:eastAsia="方正公文小标宋"/>
          <w:snapToGrid/>
          <w:kern w:val="0"/>
          <w:sz w:val="84"/>
          <w:szCs w:val="84"/>
        </w:rPr>
        <w:t>思山岭街道履行职责事项清单</w:t>
      </w:r>
      <w:bookmarkEnd w:id="12"/>
    </w:p>
    <w:p w14:paraId="5FE48D38">
      <w:pPr>
        <w:rPr>
          <w:rFonts w:ascii="方正公文小标宋" w:eastAsia="方正公文小标宋"/>
          <w:sz w:val="84"/>
          <w:szCs w:val="84"/>
          <w:lang w:eastAsia="zh-CN"/>
        </w:rPr>
      </w:pPr>
    </w:p>
    <w:p w14:paraId="1B4B4209">
      <w:pPr>
        <w:rPr>
          <w:rFonts w:ascii="方正公文小标宋" w:eastAsia="方正公文小标宋"/>
          <w:sz w:val="84"/>
          <w:szCs w:val="84"/>
          <w:lang w:eastAsia="zh-CN"/>
        </w:rPr>
      </w:pPr>
    </w:p>
    <w:p w14:paraId="5D6444B6">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21"/>
          <w:szCs w:val="21"/>
          <w:lang w:val="en-US" w:eastAsia="en-US" w:bidi="ar-SA"/>
        </w:rPr>
        <w:id w:val="147481292"/>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65B10B20">
          <w:pPr>
            <w:spacing w:before="0" w:beforeLines="0" w:after="0" w:afterLines="0" w:line="240" w:lineRule="auto"/>
            <w:ind w:left="0" w:leftChars="0" w:right="0" w:rightChars="0" w:firstLine="0" w:firstLineChars="0"/>
            <w:jc w:val="center"/>
          </w:pPr>
          <w:r>
            <w:rPr>
              <w:rFonts w:ascii="宋体" w:hAnsi="宋体" w:eastAsia="宋体"/>
              <w:sz w:val="21"/>
            </w:rPr>
            <w:t>目录</w:t>
          </w:r>
        </w:p>
        <w:p w14:paraId="6867B74A">
          <w:pPr>
            <w:pStyle w:val="7"/>
            <w:tabs>
              <w:tab w:val="right" w:leader="dot" w:pos="14001"/>
            </w:tabs>
          </w:pPr>
          <w:r>
            <w:rPr>
              <w:rFonts w:ascii="Times New Roman" w:hAnsi="Times New Roman" w:eastAsia="方正小标宋_GBK" w:cs="Times New Roman"/>
              <w:color w:val="auto"/>
              <w:spacing w:val="7"/>
              <w:sz w:val="44"/>
              <w:szCs w:val="44"/>
              <w:lang w:eastAsia="zh-CN"/>
            </w:rPr>
            <w:fldChar w:fldCharType="begin"/>
          </w:r>
          <w:r>
            <w:rPr>
              <w:rFonts w:ascii="Times New Roman" w:hAnsi="Times New Roman" w:eastAsia="方正小标宋_GBK" w:cs="Times New Roman"/>
              <w:color w:val="auto"/>
              <w:spacing w:val="7"/>
              <w:sz w:val="44"/>
              <w:szCs w:val="44"/>
              <w:lang w:eastAsia="zh-CN"/>
            </w:rPr>
            <w:instrText xml:space="preserve">TOC \o "1-1" \h \u </w:instrText>
          </w:r>
          <w:r>
            <w:rPr>
              <w:rFonts w:ascii="Times New Roman" w:hAnsi="Times New Roman" w:eastAsia="方正小标宋_GBK" w:cs="Times New Roman"/>
              <w:color w:val="auto"/>
              <w:spacing w:val="7"/>
              <w:sz w:val="44"/>
              <w:szCs w:val="44"/>
              <w:lang w:eastAsia="zh-CN"/>
            </w:rPr>
            <w:fldChar w:fldCharType="separate"/>
          </w: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_Toc4447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基本</w:t>
          </w:r>
          <w:r>
            <w:rPr>
              <w:rFonts w:hint="eastAsia" w:ascii="Times New Roman" w:hAnsi="Times New Roman" w:eastAsia="方正公文小标宋" w:cs="Times New Roman"/>
              <w:lang w:eastAsia="zh-CN"/>
            </w:rPr>
            <w:t>履职</w:t>
          </w:r>
          <w:r>
            <w:rPr>
              <w:rFonts w:ascii="Times New Roman" w:hAnsi="Times New Roman" w:eastAsia="方正公文小标宋" w:cs="Times New Roman"/>
              <w:lang w:eastAsia="zh-CN"/>
            </w:rPr>
            <w:t>事项清单</w:t>
          </w:r>
          <w:r>
            <w:tab/>
          </w:r>
          <w:r>
            <w:fldChar w:fldCharType="begin"/>
          </w:r>
          <w:r>
            <w:instrText xml:space="preserve"> PAGEREF _Toc4447 \h </w:instrText>
          </w:r>
          <w:r>
            <w:fldChar w:fldCharType="separate"/>
          </w:r>
          <w:r>
            <w:t>1</w:t>
          </w:r>
          <w:r>
            <w:fldChar w:fldCharType="end"/>
          </w:r>
          <w:r>
            <w:rPr>
              <w:rFonts w:ascii="Times New Roman" w:hAnsi="Times New Roman" w:eastAsia="方正小标宋_GBK" w:cs="Times New Roman"/>
              <w:color w:val="auto"/>
              <w:spacing w:val="7"/>
              <w:szCs w:val="44"/>
              <w:lang w:eastAsia="zh-CN"/>
            </w:rPr>
            <w:fldChar w:fldCharType="end"/>
          </w:r>
        </w:p>
        <w:p w14:paraId="56BB2AA2">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_Toc21583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配合</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_Toc21583 \h </w:instrText>
          </w:r>
          <w:r>
            <w:fldChar w:fldCharType="separate"/>
          </w:r>
          <w:r>
            <w:t>13</w:t>
          </w:r>
          <w:r>
            <w:fldChar w:fldCharType="end"/>
          </w:r>
          <w:r>
            <w:rPr>
              <w:rFonts w:ascii="Times New Roman" w:hAnsi="Times New Roman" w:eastAsia="方正小标宋_GBK" w:cs="Times New Roman"/>
              <w:color w:val="auto"/>
              <w:spacing w:val="7"/>
              <w:szCs w:val="44"/>
              <w:lang w:eastAsia="zh-CN"/>
            </w:rPr>
            <w:fldChar w:fldCharType="end"/>
          </w:r>
        </w:p>
        <w:p w14:paraId="1AC92A8A">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_Toc25816 </w:instrText>
          </w:r>
          <w:r>
            <w:rPr>
              <w:rFonts w:ascii="Times New Roman" w:hAnsi="Times New Roman" w:eastAsia="方正小标宋_GBK" w:cs="Times New Roman"/>
              <w:spacing w:val="7"/>
              <w:szCs w:val="44"/>
              <w:lang w:eastAsia="zh-CN"/>
            </w:rPr>
            <w:fldChar w:fldCharType="separate"/>
          </w:r>
          <w:r>
            <w:rPr>
              <w:rFonts w:hint="eastAsia" w:ascii="Times New Roman" w:hAnsi="Times New Roman" w:eastAsia="方正公文小标宋" w:cs="Times New Roman"/>
              <w:lang w:eastAsia="zh-CN"/>
            </w:rPr>
            <w:t>上级部门收回事项清单</w:t>
          </w:r>
          <w:r>
            <w:tab/>
          </w:r>
          <w:r>
            <w:fldChar w:fldCharType="begin"/>
          </w:r>
          <w:r>
            <w:instrText xml:space="preserve"> PAGEREF _Toc25816 \h </w:instrText>
          </w:r>
          <w:r>
            <w:fldChar w:fldCharType="separate"/>
          </w:r>
          <w:r>
            <w:t>47</w:t>
          </w:r>
          <w:r>
            <w:fldChar w:fldCharType="end"/>
          </w:r>
          <w:r>
            <w:rPr>
              <w:rFonts w:ascii="Times New Roman" w:hAnsi="Times New Roman" w:eastAsia="方正小标宋_GBK" w:cs="Times New Roman"/>
              <w:color w:val="auto"/>
              <w:spacing w:val="7"/>
              <w:szCs w:val="44"/>
              <w:lang w:eastAsia="zh-CN"/>
            </w:rPr>
            <w:fldChar w:fldCharType="end"/>
          </w:r>
        </w:p>
        <w:p w14:paraId="19DAC517">
          <w:pPr>
            <w:pStyle w:val="2"/>
            <w:jc w:val="both"/>
            <w:rPr>
              <w:rFonts w:ascii="Times New Roman" w:hAnsi="Times New Roman" w:eastAsia="方正小标宋_GBK" w:cs="Times New Roman"/>
              <w:b/>
              <w:snapToGrid w:val="0"/>
              <w:color w:val="auto"/>
              <w:spacing w:val="7"/>
              <w:kern w:val="0"/>
              <w:sz w:val="32"/>
              <w:szCs w:val="44"/>
              <w:lang w:val="en-US" w:eastAsia="zh-CN" w:bidi="ar-SA"/>
            </w:rPr>
          </w:pPr>
          <w:r>
            <w:rPr>
              <w:rFonts w:ascii="Times New Roman" w:hAnsi="Times New Roman" w:eastAsia="方正小标宋_GBK" w:cs="Times New Roman"/>
              <w:color w:val="auto"/>
              <w:spacing w:val="7"/>
              <w:szCs w:val="44"/>
              <w:lang w:eastAsia="zh-CN"/>
            </w:rPr>
            <w:fldChar w:fldCharType="end"/>
          </w:r>
        </w:p>
      </w:sdtContent>
    </w:sdt>
    <w:p w14:paraId="3F726F4D">
      <w:pPr>
        <w:rPr>
          <w:lang w:eastAsia="zh-CN"/>
        </w:rPr>
      </w:pPr>
    </w:p>
    <w:p w14:paraId="21E3C746">
      <w:pPr>
        <w:jc w:val="center"/>
        <w:rPr>
          <w:rStyle w:val="11"/>
          <w:rFonts w:ascii="Times New Roman" w:hAnsi="Times New Roman" w:eastAsia="方正公文小标宋" w:cs="Times New Roman"/>
          <w:color w:val="auto"/>
          <w:sz w:val="32"/>
          <w:u w:val="none"/>
          <w:lang w:eastAsia="zh-CN"/>
        </w:rPr>
        <w:sectPr>
          <w:footerReference r:id="rId3" w:type="default"/>
          <w:pgSz w:w="16837" w:h="11905" w:orient="landscape"/>
          <w:pgMar w:top="1418" w:right="1418" w:bottom="1418" w:left="1418" w:header="851" w:footer="907" w:gutter="0"/>
          <w:pgNumType w:fmt="decimal" w:start="1"/>
          <w:cols w:space="720" w:num="1"/>
          <w:docGrid w:linePitch="312" w:charSpace="0"/>
        </w:sectPr>
      </w:pPr>
    </w:p>
    <w:p w14:paraId="3637B96B">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4447"/>
      <w:bookmarkStart w:id="1" w:name="_Toc172077551"/>
      <w:bookmarkStart w:id="2" w:name="_Toc172077416"/>
      <w:bookmarkStart w:id="3" w:name="_Toc172077949"/>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1E45874F">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76457">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89F08">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11C2375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204AA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12BD6B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DA4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070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580DC2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81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A41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5DBDA6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F27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D04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落实党建引领基层治理工作，推行村网格化服务管理，抓好农村基层党建“一抓两整三全面”专项行动，开展“党群共同致富”活动，推动村党组织开展领办创办合作社，助推村集体经济发展和农民致富增收</w:t>
            </w:r>
          </w:p>
        </w:tc>
      </w:tr>
      <w:tr w14:paraId="54B7B5F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B27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0EF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6FBFC56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32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93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 ，贯彻民主集中制，建立健全并执行“三重一大”事项集体决策机制，履行抓基层党建“一岗双责”责任，严格执行党的组织生活制度</w:t>
            </w:r>
          </w:p>
        </w:tc>
      </w:tr>
      <w:tr w14:paraId="02BA6B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E42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B6E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14:paraId="6F343E1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326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A7A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14:paraId="79E9FFC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3A0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C2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117E339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AE9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328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负责街道机关干部教育、培训、选拔、考核、管理和监督工作，抓好年轻干部储备、管理和培养</w:t>
            </w:r>
          </w:p>
        </w:tc>
      </w:tr>
      <w:tr w14:paraId="7B85FB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1D5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4B3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14:paraId="4C9232C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9C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92F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负责派驻街道干部管理工作，抓好驻村干部履职的管理、考核和服务保障工作</w:t>
            </w:r>
          </w:p>
        </w:tc>
      </w:tr>
      <w:tr w14:paraId="04526E4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BE6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5B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7341D94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4AF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3A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坚持党管人才原则，开展人才政策引导和舆论宣传，做好人才的引进、培育、服务工作，推动产业和人才融合发展，做好“选调生”“归雁行动”选聘人员的监督考核、教育管理</w:t>
            </w:r>
          </w:p>
        </w:tc>
      </w:tr>
      <w:tr w14:paraId="06C3C8A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18F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E2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村两级监督体系建设，发现、处理群众身边的腐败问题和不正之风，按权限分类处置举报和问题线索，研究决定党员和监察对象处分，受理党员的控告和申诉，落实“阳光三务”公示公开工作</w:t>
            </w:r>
          </w:p>
        </w:tc>
      </w:tr>
      <w:tr w14:paraId="6E882E3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0BF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8D8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610FC9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40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E8E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加强新就业群体党建和服务凝聚工作，倡导全社会为新就业群体“打开方便之门”，为新就业群体提供暖心服务，优化爱心服务点位布局</w:t>
            </w:r>
          </w:p>
        </w:tc>
      </w:tr>
      <w:tr w14:paraId="6607D6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877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75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64A8A0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25A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559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4EC51A7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6A3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9BE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38AC5D0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BD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7A4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618022A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E45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DDF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1B9A65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92E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E58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4D4B0BC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304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F7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推进科协、残联、工商联、红十字会等群团组织工作，做好老科协和关心下一代工作</w:t>
            </w:r>
          </w:p>
        </w:tc>
      </w:tr>
      <w:tr w14:paraId="01A376E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ACD0A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二、经济发展（14项）</w:t>
            </w:r>
          </w:p>
        </w:tc>
      </w:tr>
      <w:tr w14:paraId="2F8314C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AD6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929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制定实施经济社会发展规划和产业发展规划，优化产业布局，推进产业转型升级，促进一产、二产、三产融合发展，谋划培育特色产业，鼓励多种生产经营模式发展特色产业</w:t>
            </w:r>
          </w:p>
        </w:tc>
      </w:tr>
      <w:tr w14:paraId="5DAC90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08E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154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4B948C7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2CC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7B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718B7E8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AA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E97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优化营商环境，落实“项目管家”制度，加强惠企政策宣传，培育壮大市场主体，鼓励“小升规”，做好辖区企业服务工作</w:t>
            </w:r>
          </w:p>
        </w:tc>
      </w:tr>
      <w:tr w14:paraId="1F596C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09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D33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0DD6F4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8E1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62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094F74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C1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687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6031DE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7CF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D1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64A631E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D1B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43A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5A4C8A1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B72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E26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08C9D61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17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7AB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068A7D3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1A9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29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149F58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28B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C2F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1C7DB7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188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945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全方位服务龙新矿业项目建设，协调做好各项保障工作，为企业建设与发展保驾护航</w:t>
            </w:r>
          </w:p>
        </w:tc>
      </w:tr>
      <w:tr w14:paraId="373BD21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292E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2E8E14A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436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521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08165E1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A77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C0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2C49892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C2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218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49A5AE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4FE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B5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340A8C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C76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00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14:paraId="712B0C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B2E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C2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378362A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FC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99F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11F9EFB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72A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AC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59C82DA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87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CA0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14:paraId="4F1217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70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D98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1E854DB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C60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83F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4E1BF0C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4BE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548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461A71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CE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57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55C534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186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ADB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27B7A3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955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CD8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2DA6BB9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47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AC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14:paraId="12B16C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22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435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2C8685C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68D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5E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4C3C2E2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F8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5B8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09CE92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5F0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2B5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247805D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3597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1A692B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84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97E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14:paraId="4FD1D8F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5D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C00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人民法庭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59DEC14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3EE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EE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14:paraId="1D7E118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728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B0E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09147FB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467F0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395937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9B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0FB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05D5907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FFA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A6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46FF70D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66B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DE1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464622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B16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EE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开展农业技术推广、服务指导工作，加强基层农业技术推广队伍建设，促进农业机械化</w:t>
            </w:r>
          </w:p>
        </w:tc>
      </w:tr>
      <w:tr w14:paraId="7C65006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837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D48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09502A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5F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3AF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44E3E32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750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E8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负责农村饮水工程项目申报及农村饮水安全管理、维修养护工作，排查村级供水情况，推动解决农村饮水问题</w:t>
            </w:r>
          </w:p>
        </w:tc>
      </w:tr>
      <w:tr w14:paraId="58816D4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DB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89D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负责农村土地承包经营及承包经营合同管理，调解土地承包纠纷，受理农村宅基地申请并初审</w:t>
            </w:r>
          </w:p>
        </w:tc>
      </w:tr>
      <w:tr w14:paraId="5B251CC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0D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98A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16E750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011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F68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0356CF5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8A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1FD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做好街道本级路灯、农村垃圾池等基础设施建设和管理工作，负责协调组织申请对村级道路及桥梁、河堤护岸、农田灌溉等基础设施的维护</w:t>
            </w:r>
          </w:p>
        </w:tc>
      </w:tr>
      <w:tr w14:paraId="663591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09C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AB5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负责农村人居环境常态化整治工作，做好对市场化服务主体开展环境卫生清理相关工作，负责对损坏公共设施、乱堆乱放、破坏村容村貌的行为进行排查、制止、上报</w:t>
            </w:r>
          </w:p>
        </w:tc>
      </w:tr>
      <w:tr w14:paraId="1AFB4CB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487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8EF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负责农村户厕问题排查和农村户厕改造奖补申请的初核，申请农村“厕所革命”相关项目；做好农村公共厕所的建设、管护等相关工作；开展村镇建设统计和村庄建设统计调查工作</w:t>
            </w:r>
          </w:p>
        </w:tc>
      </w:tr>
      <w:tr w14:paraId="52D8324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E3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E40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392032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BB7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BA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42C7F2E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7A1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FB3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2018652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7A3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40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1493B5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EAE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195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聚力发展冷水鱼、农产品等特色产业，重点打造以石湖村大白杏、杨木沟村冷水鱼、解放村草莓及沙棘果为核心的“一村一品”特色农业，以产业发展促农增收</w:t>
            </w:r>
          </w:p>
        </w:tc>
      </w:tr>
      <w:tr w14:paraId="1048BF9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76F4C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25987F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68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D57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1217F68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7D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52F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负责对生态环保的信访举报、重点问题反馈、视频曝光通报进行核实，做好涉及街道、村层面生态环境保护问题的整改工作</w:t>
            </w:r>
          </w:p>
        </w:tc>
      </w:tr>
      <w:tr w14:paraId="0565497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21E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670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0063B8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22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8F7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落实林长制，组织开展宣传教育、日常巡查，做好森林资源流转备案工作，负责枫树保护管理，发现破坏森林资源的行为及时制止并上报，督促、指导村林长正常履职</w:t>
            </w:r>
          </w:p>
        </w:tc>
      </w:tr>
      <w:tr w14:paraId="61E71D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3C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6AD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0B12705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70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CA8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开展植树造林政策宣传，组织植树造林活动，负责林业经济产业调查及统计报表、护林员日常管理；开展森林病虫害预防、调查、巡查工作</w:t>
            </w:r>
          </w:p>
        </w:tc>
      </w:tr>
      <w:tr w14:paraId="10EC6AD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52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806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负责林业科学技术推广，开展林业技术培训、技术咨询和技术服务</w:t>
            </w:r>
          </w:p>
        </w:tc>
      </w:tr>
      <w:tr w14:paraId="46DC29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459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51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开展卫片图斑核查工作，排查非法占用宅基地、河滩地、林地、耕地、荒地情况，受理群众的举报和投诉，对非法占用行为及时劝告、制止并上报，负责对农户私搭乱建进行整改</w:t>
            </w:r>
          </w:p>
        </w:tc>
      </w:tr>
      <w:tr w14:paraId="244EFF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99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3A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6A1ACD3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0D4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06F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4EA3AAB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2D8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6D1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0C11CA5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8085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七、城乡建设（8项）</w:t>
            </w:r>
          </w:p>
        </w:tc>
      </w:tr>
      <w:tr w14:paraId="134BB4C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905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EC6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317D75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7A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CF8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落实路长制，加强乡村道路交通安全管理，开展乡村道路日常巡查和养护，及时组织协调修复和抢通受损乡村道路，发现问题及时上报</w:t>
            </w:r>
          </w:p>
        </w:tc>
      </w:tr>
      <w:tr w14:paraId="57B21C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11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4B4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负责上报道路大中修和维修改造、道路安全防护规划、一事一议道路建设、道路规划管理等工作的数据，做好各类道路基础情况普查</w:t>
            </w:r>
          </w:p>
        </w:tc>
      </w:tr>
      <w:tr w14:paraId="305D06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432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4DD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0F7CCB6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7B7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A1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负责村、屯主要干道、村民文化广场等附近的公益广告定期更新、维护等工作</w:t>
            </w:r>
          </w:p>
        </w:tc>
      </w:tr>
      <w:tr w14:paraId="25B9D56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99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231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4FC46F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80D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789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5BB477C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980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D3C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推动甬子峪村满族文化传承与发展民俗展示馆建设，打造民俗文化展示新窗口</w:t>
            </w:r>
          </w:p>
        </w:tc>
      </w:tr>
      <w:tr w14:paraId="6C75117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11B2E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八、文化和旅游（7项）</w:t>
            </w:r>
          </w:p>
        </w:tc>
      </w:tr>
      <w:tr w14:paraId="3C8CE48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7A7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0A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推进文体旅融合发展，深入挖掘特色文旅资源，打造具有地域特色的文化旅游品牌</w:t>
            </w:r>
          </w:p>
        </w:tc>
      </w:tr>
      <w:tr w14:paraId="37C8F4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11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CBF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0D4F45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F34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CE0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41EF04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72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68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挖掘、弘扬、发展红色文化和优秀民俗文化，做好非物质文化遗产申报、保护、传承工作</w:t>
            </w:r>
          </w:p>
        </w:tc>
      </w:tr>
      <w:tr w14:paraId="619720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47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58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6E0E753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F6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A4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7B3B69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00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0C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宣传和服务“大峡谷”及“大冰沟”景区，引导和带动特色旅游产业发展，培育全域旅游品牌</w:t>
            </w:r>
          </w:p>
        </w:tc>
      </w:tr>
      <w:tr w14:paraId="462C85B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645CD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54651BD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F7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3E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编制修订突发事件应急预案，组织开展应急演练，发生突发事件后第一时间上报，做好群众疏散、初期救援等先期处置工作</w:t>
            </w:r>
          </w:p>
        </w:tc>
      </w:tr>
      <w:tr w14:paraId="6A2E3D5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E94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B79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4F59784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9F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938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14:paraId="54BD528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7DC9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6A6719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17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6C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5AEE148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DD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433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456AB7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90E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F83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负责街道本级及村财务管理工作，做好财政预决算、国库集中收付管理、会计核算、财务收支审核、内部审计、财政资金和非税收入管理及财政预算一体化平台工作，加强行政事业性国有资产管理及监督执行</w:t>
            </w:r>
          </w:p>
        </w:tc>
      </w:tr>
      <w:tr w14:paraId="3159DD7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888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851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14:paraId="25F1169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0D8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A65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1798C2E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0E9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EA9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3A6051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C52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12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4BA7102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BB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8DA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贯彻执行档案法律法规，建立健全档案管理制度，推进档案室规范化建设，负责档案收集、整理、归档、移交进馆、销毁等工作，做好档案查询工作，指导监督所属企业和村做好档案工作</w:t>
            </w:r>
          </w:p>
        </w:tc>
      </w:tr>
      <w:tr w14:paraId="345228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48A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00B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14:paraId="4767BBF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CBD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37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21AD7F2D">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552"/>
      <w:bookmarkStart w:id="5" w:name="_Toc172077950"/>
      <w:bookmarkStart w:id="6" w:name="_Toc172077417"/>
      <w:bookmarkStart w:id="7" w:name="_Toc21583"/>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2AF079DF">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3EA05">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7CB0E">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ED06A">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89CC">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F4F59">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15785009">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7DFDC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676C6CC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EE6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CE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B0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D73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68D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14:paraId="1BAC157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A8E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3BC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A20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F7E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55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7538FE0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FFA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0EC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AA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FF9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2.区农业农村局、区财政局会同街道组成审计组，对村（居）民委员会成员的任期和离任经济责任进行审计；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CFC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2EE8501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5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6BB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11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7D4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04B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6D33E24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C20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DFA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897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348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A92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14:paraId="3CCF3CB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9BD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19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85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C6E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1.区委宣传部负责制定公益电影放映工作实施方案，做好经费、设备保障工作；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2.区文化旅游和广电局组织开展农村公益电影放映工作。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CE7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68B66A92">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2F070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000FA81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6A8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1A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313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63B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1.以与沈阳市铁西区联系对接为重点，组织推进融入沈阳现代化都市圈建设工作；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2.以与泰州市兴化市联系对接为重点，组织推进泰本对口合作工作；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3.以与新疆托里县阿克别里斗乡联系对接为重点，组织推进对口援疆工作。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A7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1.加强同沈阳市铁西区对口街道办事处联系对接，推进项目建设、招商引资、交流合作、互学互鉴等工作落地；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2.加强同泰州市兴化市对口街道办事处联系对接，推进项目建设、招商引资、交流合作、互学互鉴等工作落地；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3.加强同新疆托里县阿克别里斗乡联系对接为重点，推进项目建设、招商引资、交流合作、互学互鉴等工作落地。</w:t>
            </w:r>
          </w:p>
        </w:tc>
      </w:tr>
      <w:tr w14:paraId="53B626E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FD1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AE9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4E3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8AA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2.优化金融发展环境，对涉嫌非法金融活动线索进行初步研判并上报，推动全区金融机构和金融业规范健康发展，防范非法金融活动等金融风险。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57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3C0DE94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CD3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6B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4EB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E7E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113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13AC5FC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F3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D6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66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E4A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6C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14185B9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FA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78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0F2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43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900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3561E60F">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4A168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三、民生服务（34项）</w:t>
            </w:r>
          </w:p>
        </w:tc>
      </w:tr>
      <w:tr w14:paraId="6CE8766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33F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2AC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224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153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775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7.对村初审合格的离校未就业高校毕业生灵活就业社保补贴申请材料进行复核并上报；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w:t>
            </w:r>
          </w:p>
        </w:tc>
      </w:tr>
      <w:tr w14:paraId="31262C0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7A8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21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D5D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A7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6E7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5C9AA46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A13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656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F8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2D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7D1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1B2F42D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968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4C3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20E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0A3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C6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2.排查义务教育阶段适龄儿童入学情况并上报，协助对未入学或在校不稳定的学生进行家访劝返。</w:t>
            </w:r>
          </w:p>
        </w:tc>
      </w:tr>
      <w:tr w14:paraId="2F14C16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A19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23C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6BC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77C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B1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18CEB0F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78C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D24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C0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5E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F3C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3B79D89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073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2E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7CF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80B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3.对区水行政主管部门承担建设任务的村（社区）饮水工程建设质量进行监督。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31B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14:paraId="1F6F564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7D2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79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FFFFD">
            <w:pPr>
              <w:widowControl/>
              <w:kinsoku/>
              <w:spacing w:before="0" w:beforeLines="0" w:after="0" w:afterLines="0"/>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区</w:t>
            </w:r>
            <w:r>
              <w:rPr>
                <w:rFonts w:hint="eastAsia" w:ascii="Times New Roman" w:hAnsi="方正公文仿宋" w:eastAsia="方正公文仿宋"/>
                <w:kern w:val="0"/>
                <w:szCs w:val="21"/>
                <w:lang w:eastAsia="zh-CN" w:bidi="ar"/>
              </w:rPr>
              <w:t>退役军人事务局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4FE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CE7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1.了解退役军人安置需求并上报，协助退役军人办理落户手续；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786C600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367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08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91EF">
            <w:pPr>
              <w:widowControl/>
              <w:kinsoku/>
              <w:spacing w:before="0" w:beforeLines="0" w:after="0" w:afterLines="0"/>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区</w:t>
            </w:r>
            <w:r>
              <w:rPr>
                <w:rFonts w:hint="eastAsia" w:ascii="Times New Roman" w:hAnsi="方正公文仿宋" w:eastAsia="方正公文仿宋"/>
                <w:kern w:val="0"/>
                <w:szCs w:val="21"/>
                <w:lang w:eastAsia="zh-CN" w:bidi="ar"/>
              </w:rPr>
              <w:t>退役军人事务局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A69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4C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6177F27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C0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2F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3E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D4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57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1.为街道民政服务站提供办公、服务场地和必要办公条件；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35C49C5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66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0AE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DDF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63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线界桩的管理和保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20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1.开展本行政区域界线的勘定和定期联检，配合开展界线界桩巡查管护工作，负责域内行政区划变更调整和街道办事处驻地迁移的申报，参与区街两级行政区域边界争议的调查和调处；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322639C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82F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1C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BF3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885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7C1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34C116A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C9C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BE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80C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A94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57C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6341CC6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3F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3DE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F3E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DBA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C0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5B4B8EA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1E8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A1E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DC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15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FE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31C7EC2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A8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68E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B72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6C9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527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2.组织村民参加慢性病义诊活动。</w:t>
            </w:r>
          </w:p>
        </w:tc>
      </w:tr>
      <w:tr w14:paraId="7222CF8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137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4A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3E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AAC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C7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3.接到上级传染病预警后，按照传染病防控方案，配合采取流调、采样等控制措施；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14:paraId="62E32E0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480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68E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4F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3BD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1C3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0063ED3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4FC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980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BC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6EA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1.负责组织街道、村（居）民委员会、适老化改造机构等，采取多种形式广泛开展适老化改造政策宣传，组织动员符合条件的改造对象积极申报；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EA8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3.协助评估机构开展能力评估；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3D26091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4DF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855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46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CEA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555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66E6A52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713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4B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1D7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ABA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10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26896A4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2C8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A6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00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市医保局南芬区分局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93F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E7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帮助村民办理基本医疗保险参保登记、信息变更的系统录入及咨询查询工作。</w:t>
            </w:r>
          </w:p>
        </w:tc>
      </w:tr>
      <w:tr w14:paraId="13C6DB3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79C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2A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0A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市社保中心南芬区分中心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5A1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1.市社保中心南芬区分中心负责比对低保、特困、重残等人员增减变动数据和参保人员数据，确定需要政府代缴人员名单，报送至区人力资源社会保障局；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2.区人力资源社会保障局负责将政府代缴人员名单转送至街道核实后，报送至区财政局。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B84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核对政府代缴人员名单中的参保信息和上缴保费数额，发现有疑议的反馈至区人力资源社会保障局。</w:t>
            </w:r>
          </w:p>
        </w:tc>
      </w:tr>
      <w:tr w14:paraId="659E833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EF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B0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9C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60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0E3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负责本街道“全国儿童福利信息系统”中各类服务对象和工作人员信息录入、业务办理、数据统计和动态更新等工作。</w:t>
            </w:r>
          </w:p>
        </w:tc>
      </w:tr>
      <w:tr w14:paraId="65AD729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53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96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开展经济适用房申请和公共租赁住房资格申请工作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9E6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27A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BDC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1.做好经济适用房、公共租赁住房相关政策的解答；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16D8870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6AC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65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EBD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市社保中心南芬区分中心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DC4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2.市社保中心南芬区分中心负责办理参保业务，对达龄人员发放待遇。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D48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142C507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5E1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62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A3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827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17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7C14972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53B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10F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51B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市社保中心南芬区分中心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ED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2.市社保中心南芬区分中心负责发放补助资金。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4A9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654BCD9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ACE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84A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1A2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ED0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0E3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1EA3C25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169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ACF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1CA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9A2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5C0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5AA1226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AF5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27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DB2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9F2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D1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3DE7135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6E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6D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D6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DDC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B6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3.开展残疾人基本状况调查及动态更新并上报。</w:t>
            </w:r>
          </w:p>
        </w:tc>
      </w:tr>
      <w:tr w14:paraId="225B5E8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AFA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8D2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A5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6B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区民政局负责下发疑点信息，开展社会救助、社会福利发放领取行为监督检查，对骗取、冒领人员协调相关部门开展追缴工作。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0A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7A054BF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6E1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0DC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931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CA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A1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28E9C115">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1A7DA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2B05C5F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14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B0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F2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290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987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4C83A7C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672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A57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792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市公安局交通管理支队南芬大队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3E7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3.市公安局南芬分局负责对学校及其周边的巡逻，对校园周边出租房屋、宾馆酒店等重点场所清理整治，配合清理校园周边各类违规培训班、托管班；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交通管理支队南芬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1E1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3.负责中高考期间考点周边保障护航工作，组织对所管辖考点周边存在的各种隐患进行排查上报。</w:t>
            </w:r>
          </w:p>
        </w:tc>
      </w:tr>
      <w:tr w14:paraId="7F0A96B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6D7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44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做好铁路护路联防工作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5C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158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1.区委政法委负责开展保障铁路安全和加强铁路运输安全的宣传教育，协调和处理保障铁路安全的有关事项，做好保障铁路安全和运输安全的有关工作；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2.区交通运输局负责落实护路联防责任制、双段长责任制；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3.区委政法委和区交通运输局组织开展日常巡查，防范和制止危害铁路安全和铁路运输安全的行为。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14D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1.开展铁路安全宣传教育；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3.参与联合巡查，发现、制止、上报危及铁路安全的违法行为。</w:t>
            </w:r>
          </w:p>
        </w:tc>
      </w:tr>
      <w:tr w14:paraId="6E9D6D2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D8C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481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6E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5A0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42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w:t>
            </w:r>
          </w:p>
        </w:tc>
      </w:tr>
      <w:tr w14:paraId="21073F5B">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94A9A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五、乡村振兴（16项）</w:t>
            </w:r>
          </w:p>
        </w:tc>
      </w:tr>
      <w:tr w14:paraId="660F979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A63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B2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C7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BA9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E34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013712A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2D7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768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F85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B93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1.区农业农村局负责高标准农田项目（含项目内农田灌溉井）工程建设、管理工作，组织编制高标准农田项目初步设计文件并申报项目，组织开展项目实施和初步验收，开展日常监管；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8C7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1.协助做好高标准农田项目（含项目内农田灌溉井）申报选址、勘察设计、质量监督、竣工验收等工作，项目移交后指导管护主体进行管护并监督管护情况；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5E724A0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0A3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E45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EE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86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2.研究提出专项资金使用方案，开展绩效管理具体工作，建立健全市区项目管理制度。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AA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3B160C6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1AC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FAA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负责种植业管理和技术推广工作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D6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30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1.开展种植技术、新品种推广、病虫害防治等培训；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2.做好病虫害防范工作，组织恢复生产重建等工作；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3.发布极端天气预警，做好灾情汇总上报及灾后作物疫病防控指导工作；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4.指导外来物种普查、防治工作；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5.做好农药化肥减量、农药包装废弃物和废旧农膜回收处置指导工作，督查废旧农膜回收数量和工作质量；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6.对农资店进行检查，负责农资店违规出售禁用农药、违规售卖种子的监管工作。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E58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1.组织相关从业人员参加培训，协助开展种植业技术指导；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2.统计病虫害信息，及时上报；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3.传达极端天气的预警信息，做好灾情统计、上报；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4.排查外来物种，并按要求做好清理工作；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5.配合对化肥减量增效试验用地选址，推广高强度地膜等新品种，督促村开展各回收点日常管理工作；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6.做好农资管理法律法规宣传教育、巡查督促。</w:t>
            </w:r>
          </w:p>
        </w:tc>
      </w:tr>
      <w:tr w14:paraId="66BECEE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D5F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AA1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D35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C6C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EC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1DEC19A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6D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46F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24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D31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214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3469845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50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521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DC8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3B3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6A3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3D6CE42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360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92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913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17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E9A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4BD46F0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3A6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90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B5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500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092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623E1A9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FC6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A9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A8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939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95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3D2AD41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414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6D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74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79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1.负责对举报线索进行核查，做好调查取证工作；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2.协调上级部门依据法律法规对违法行为进行处罚。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97D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6FC7B72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81B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71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C32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F1F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1.制定区级实施方案；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9D4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38514AF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BD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78D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7E3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627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DC5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0F4E176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20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B03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3F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D72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CE5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2.参与项目现场验收，负责对移交后的水利工程进行管理、维护工作。</w:t>
            </w:r>
          </w:p>
        </w:tc>
      </w:tr>
      <w:tr w14:paraId="6D0A373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AB7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CD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DF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BA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6.负责发放移民直补资金工作。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84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5.对冒领、重复领取后期扶持直补资金进行追缴。</w:t>
            </w:r>
          </w:p>
        </w:tc>
      </w:tr>
      <w:tr w14:paraId="027FED3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1AF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E9E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51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D31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AFB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2.开展日常巡查，排查自备水源井，发现违法行为及时制止并上报；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4C0B4D14">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C6A20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六、自然资源（17项）</w:t>
            </w:r>
          </w:p>
        </w:tc>
      </w:tr>
      <w:tr w14:paraId="160F703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FBE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43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592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EE3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2.负责协调市自然资源执法部门对违法用地进行调查，防止违建大棚房、违建别墅、乱占耕地行为反弹，对发现的侵占、破坏耕地和基本农田等违法行为进行查处与整改。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F35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1.配合开展耕地和基本农田确认及保护工作；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2.配合向社会公布永久基本农田的位置范围、设立保护警示标志；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3.落实耕地网格化管理及区块责任人制度，定期开展巡查，定期排查违建大棚房、违建别墅、乱占耕地建房等行为，发现破坏耕地违法行为及时制止并上报，配合开展整改和查处。</w:t>
            </w:r>
          </w:p>
        </w:tc>
      </w:tr>
      <w:tr w14:paraId="5582E6D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532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CB5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B96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B02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2.协调上级部门对本行政区域内违法违规勘查、开采矿产资源的行为进行依法处置。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6F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320521B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490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2B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ECC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97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09E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0D75252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BCC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F99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46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100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82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1A9EA7C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DCD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C4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21E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70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1.市自然资源局南芬分局协调市自然资源执法部门对卫片图斑进行对比甄别、实地查看、系统核实认定，立案调查处理；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2.区农业农村局对卫片图斑涉及耕地开展对比甄别、实地核查、综合研判，对涉嫌违法行为进行调查，督促整改，协调上级部门对违法行为进行查处；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7F5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3.督促整改主体开展整改工作。</w:t>
            </w:r>
          </w:p>
        </w:tc>
      </w:tr>
      <w:tr w14:paraId="0D9244A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2E6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3B9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05E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A34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92B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3383116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275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785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开展林业产业发展相关工作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3EF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EE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2.为全区林业产业发展工作提供技术支持和服务保障。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CC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1.配合做好林业产业技术规程编制、项目选定、科学实验和示范基地的建设工作；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2.发展林业产业，为林农发展产业提供相应的服务。</w:t>
            </w:r>
          </w:p>
        </w:tc>
      </w:tr>
      <w:tr w14:paraId="4472646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877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A57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3EA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C7D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2.制定造林绿化规划、计划，统筹安排全区造林绿化；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57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42ECDDF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B9E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15F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开展森林采伐和野外用火管理工作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980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098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1.负责森林经营审批及监管，核发采伐许可证；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3.对伐区验收及更新情况进行抽检；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4.复核野外用火申请材料，牵头组织相关部门派出观察员，现场勘验用火范围及防火带情况，勘验合格后核准野外用火申请并上报备案。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33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1.开展森林资源合法采伐宣传教育；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2.协助上级部门进行现场核实，指导监督第三方机构开展森林采伐作业设计工作，审核呈报森林采伐作业设计、实施伐前公示情况、对伐区进行验收及监管；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3.协助开展野外用火现场核实工作，对申请人提交的材料进行初审并上报。</w:t>
            </w:r>
          </w:p>
        </w:tc>
      </w:tr>
      <w:tr w14:paraId="49EDDD2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D7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EC2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B41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43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E60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69538FA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7FB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2B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0A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B48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2.出具区级审核意见，报送上级林业主管部门审批；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ED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7FEBC6B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0D4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8BB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78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A6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4.组织开展全区古树名木复壮修复工作，申请、拨付古树名木复壮修复资金。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86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17A7B8F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D41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EC6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49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45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2.负责陆生野生动物收容救护，国家一级保护野生动物致害补偿申请材料审核、核实确认、提出补偿意见，报区政府审批。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4B2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2.配合做好陆生野生动物的调查、应急处置、救护工作；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2D3285F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5F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2A5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779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5DC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88B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1AA065C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E50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F55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7F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3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BD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5F5EF66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B80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900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B92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E83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2.调查全区林木种苗苗圃信息；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E2C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5B35BBC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D73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B6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EEE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2F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B1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52541663">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481B3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3CD5396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15B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26A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49F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AAC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26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                                                                                         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424F063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85D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A4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2F4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B4B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6C6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612236D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714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45E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674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57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1.本溪市南芬生态环境分局负责制定年度大气污染防治计划，制定重污染天气的应对方案，确定大气污染物减排目标及具体实施方案，协调推进大气污染联防联控机制，推进重点企业行业大气污染防治整治提升；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5.区市场监管局会同本溪市南芬生态环境分局对锅炉生产、进口、销售和使用环节执行环境保护标准或者要求的情况进行监督检查。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81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605DA21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BE0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DAB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5A5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B7A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7.会同相关部门对水源保护区（含准保护区）开展风险隐患排查工作；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8.编制水源地突发环境事件应急预案；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EA8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3.负责农村污水处理设施的运营监管工作；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7.对饮用水水源保护区内的隔离防护设施、界碑、宣传牌等基础设施进行日常管护；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8.开展饮用水水源保护区的日常巡查；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9.引导和督促村民委员会结合当地实际，在村规民约中规定村民保护饮用水水源的义务，落实保护措施；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10.组织实施水源地突发环境事件应急演练；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11.做好噪声污染宣传工作。</w:t>
            </w:r>
          </w:p>
        </w:tc>
      </w:tr>
      <w:tr w14:paraId="609B672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6D5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FED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FA6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8C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037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53495B4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7DD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56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EA1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9FA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EF4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0965D837">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08D60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八、城乡建设（9项）</w:t>
            </w:r>
          </w:p>
        </w:tc>
      </w:tr>
      <w:tr w14:paraId="71AA54D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E53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5E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372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EB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10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2.协调村做好占地补偿问题沟通工作。</w:t>
            </w:r>
          </w:p>
        </w:tc>
      </w:tr>
      <w:tr w14:paraId="2D812DB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A87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AC2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做好农村公路管理工作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64F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B2B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1.负责组织农村公路基础设施建设、升级扩建、水毁修复项目管理工作；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2.负责控制检查建设项目质量目标、进度目标、安全目标；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3.负责道路日常路况监督、农村道路交通运输领域安全生产隐患排查、维补养护工作；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4.负责对农村公路的路况、沿线设施等进行排查和评定。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20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1.调查辖区内需要进行建设改造的道路信息并上报；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2.协助参建单位在建设工程中做好与村委、村民的协调工作（召开村民代表大会、收集村民修建意见）；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3.配合排查重载、安全事故多发等特殊路段路况信息，道路用地范围内的设施（广告牌、超限龙门架等）信息，以及道路、基础设施破损情况，发现问题及时上报，设置破损路段安全提醒标志并协助维修维护；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4.配合调查乡村公路路况养护、植被养护等工作。</w:t>
            </w:r>
          </w:p>
        </w:tc>
      </w:tr>
      <w:tr w14:paraId="7DB4A37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08F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41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D5C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65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5A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12DFC05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285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71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882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46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E9D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786AA0F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AB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2E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430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2F5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5A6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5BA4D77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91F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FEF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053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8BC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3.开展农村住房安全鉴定评定工作；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5.申请农村危房改造区级配套补助资金；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7.组织开展农村房屋安全隐患排查整治等工作；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8.组织填报农村危房改造信息系统。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75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2.按照反馈情况上报危房改造计划；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7.对农村房屋安全隐患进行排查，督促产权人及时整改。</w:t>
            </w:r>
          </w:p>
        </w:tc>
      </w:tr>
      <w:tr w14:paraId="6C289C5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E26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A1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C17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D2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356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151EB91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46D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F4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BE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A6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F6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5996180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FD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F9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855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6F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1.负责对城区范围内建设单位和个人的违法建设行为进行认定，提供技术支持和保障；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5F7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3.开展查处工作，核查报送违法建设相关信息。</w:t>
            </w:r>
          </w:p>
        </w:tc>
      </w:tr>
      <w:tr w14:paraId="7E92E088">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FD8E9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4289310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76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7D6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2EC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9F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B3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4040249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6D3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FB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A8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D92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0C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650AC0B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7BB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A25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643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94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0FC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1D700DA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4F5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0BF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2EF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C12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3.市公安局南芬分局负责查处抗拒、阻碍管理部门依法执行公务的违法行为，协助管理部门对卫星电视广播地面接收设施进行检查。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5E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240EF4CE">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777A0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十、应急管理及消防（12项）</w:t>
            </w:r>
          </w:p>
        </w:tc>
      </w:tr>
      <w:tr w14:paraId="0A5F0F9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335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BD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9FB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F5E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37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78BF21A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67D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266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83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市公安局交通管理支队南芬大队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本溪市南芬生态环境分局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1C2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3.市公安局交通管理支队南芬大队负责做好受灾区域道路交通疏导工作，确保安全畅通；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4.市自然资源局南芬分局负责开展地质灾害日常防范和管理工作，及时转发预报预警；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5.本溪市南芬生态环境分局负责灾区环境应急信息通报和应急预警工作；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6.区发展改革局负责安排重点防灾减灾救灾项目，负责组织和协调相关企业参加救灾，会同做好区级救灾物资储备管理和收储、轮换等工作，负责提供必要的人防工程和发布避灾避险警报；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道路、水、电、气等防灾基础设施，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9.区农业农村局负责收集、整理和反映农业洪涝、干旱、雨雪冰冻灾情信息，做好种植业和养殖业监测及防御工作，指导农业防汛抗旱和灾后农业救灾、生产恢复；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11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06A129F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130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6E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B1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949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1.区应急局组织较大森林草原火灾应急处置，会同相关部门负责火情监测预警工作，发布森林火险、火灾信息，协调开展应急救援；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林草局负责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E5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66E00A2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A5E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733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F52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93F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9CC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06AA7C5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5C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3F7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B4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00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68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2A5F9DF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221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FC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8A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9DF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E9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7437BA1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F11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DD4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DC9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733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EA7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0694D49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B8E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AA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DF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59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41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35BE971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CAE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CBF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B0A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EB2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A88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12BD35C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16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21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A86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C20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19A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797B1AC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032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086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015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FC5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1E1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15068DE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372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9FB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B86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42C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3.市公安局南芬分局依据权限对电动自行车入户、飞线充电等行为进行监督检查。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D06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3.督促网格员开展思山岭街道家属楼、回迁楼电动自行车入户飞线充电隐患排查，对隐患行为人进行劝解，对拒不改正的上报主管部门；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p>
        </w:tc>
      </w:tr>
      <w:tr w14:paraId="2D59E1C6">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1E4E2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6011B0B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CA9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C9D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02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13C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DC6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787B76D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E47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D8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DB7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860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6F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45FB0C2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FAD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A0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564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E4D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8B8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bl>
    <w:p w14:paraId="08516565">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418"/>
      <w:bookmarkStart w:id="9" w:name="_Toc172077951"/>
      <w:bookmarkStart w:id="10" w:name="_Toc25816"/>
      <w:bookmarkStart w:id="11" w:name="_Toc172077553"/>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1D70B41C">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706A8">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DECE0">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EC800">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626C3F2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8B5E8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76FE22C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DDB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53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排查餐饮场所使用醇基燃料安全隐患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82C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工作方式：对辖区内餐饮经营主体使用醇基燃料情况进行摸底排查，建立台账，督促餐饮企业进行培训，提高安全意识和操作技能，对发现的安全隐患及时移交相关安全监管部门，保存好移交记录。</w:t>
            </w:r>
          </w:p>
        </w:tc>
      </w:tr>
      <w:tr w14:paraId="008F91A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28DD8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二、平安法治（2项）</w:t>
            </w:r>
          </w:p>
        </w:tc>
      </w:tr>
      <w:tr w14:paraId="7F54751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A5A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24F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4C9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6473A6C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1E2C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304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CD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0CEB252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C504D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三、乡村振兴（9项）</w:t>
            </w:r>
          </w:p>
        </w:tc>
      </w:tr>
      <w:tr w14:paraId="6A36559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81CB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21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对山洪沟道进行清淤疏浚，清理河道垃圾</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89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工作方式：根据《中华人民共和国水法》《中华人民共和国防洪法》《中华人民共和国河道管理条例》等法律法规，经区人民政府批准，聘用第三方疏浚山洪沟道，清理河道内垃圾。</w:t>
            </w:r>
          </w:p>
        </w:tc>
      </w:tr>
      <w:tr w14:paraId="53B40F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6691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7A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176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承接部门：市自然资源局南芬分局、区农业农村局、区林草局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森林法》《中华人民共和国河道管理条例》等法律法规，由区林草局、区农业农村局依法依规对违法用地行为进行查处，市自然资源局南芬分局依法依规协调处置。</w:t>
            </w:r>
          </w:p>
        </w:tc>
      </w:tr>
      <w:tr w14:paraId="0372C08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6320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FE1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做好动物疫情信息采集工作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735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5774A1A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8C3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19F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2A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开展登记、检验，检查农机作业安全。组织监管人员深入农机作业、存放等场所，常态化开展隐患排查整治。重点排查农机安全生产中的重大隐患，防止重大农机事故的发生。</w:t>
            </w:r>
          </w:p>
        </w:tc>
      </w:tr>
      <w:tr w14:paraId="78E5899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F739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1BF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6A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严格按照规范合理选址、规范操作，防止污染水源和环境。</w:t>
            </w:r>
          </w:p>
        </w:tc>
      </w:tr>
      <w:tr w14:paraId="18CBAAF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CE88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861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414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贯彻落实《中华人民共和国生物安全法》，对农田生态系统、渔业水域等区域外来入侵物种进行监督管理。通过悬挂横幅、宣传资料等方式对农民宣传，引导群众提高警惕性，增强防控意识，推动农业外来入侵物种防控工作有序开展。</w:t>
            </w:r>
          </w:p>
        </w:tc>
      </w:tr>
      <w:tr w14:paraId="1CCBF92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44F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763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63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工作方式：明确分工和目标任务，对外来物种的种类、范围、危害程度等情况开展普查工作。组织技术人员进行资料收集和实地考察；建立农业外来入侵物种档案和数据库，对普查数据进行整理和分析。</w:t>
            </w:r>
          </w:p>
        </w:tc>
      </w:tr>
      <w:tr w14:paraId="13D3B89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C215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A35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9C3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对动物、动物产品按照规定采样、留验、抽检；对染疫或者疑似染疫的动物、动物产品及相关物品进行隔离、查封、扣押和处理；查验检疫证明、检疫标志和畜禽标识等。</w:t>
            </w:r>
          </w:p>
        </w:tc>
      </w:tr>
      <w:tr w14:paraId="04D8628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127E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688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8F8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经强制免疫的动物未按照规定建立免疫档案，或者未按照规定加施畜禽标识的，根据《中华人民共和国畜牧法》的有关规定处罚。对养殖户（企业）养殖规模按照标准进行认定，对生产场所、配套生产设施、无害化处理设施等动物防疫条件进行审查，符合条件的备案登记。</w:t>
            </w:r>
          </w:p>
        </w:tc>
      </w:tr>
      <w:tr w14:paraId="2B33B8E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1C92B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四、社会管理（3项）</w:t>
            </w:r>
          </w:p>
        </w:tc>
      </w:tr>
      <w:tr w14:paraId="5B91F1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041C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A60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26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做好居民区、大型建筑物、城镇道路、街巷不规范地名清理整治，确定不规范地名清理整治清单，进行标准化处理；健全完善地名管理制度机制。</w:t>
            </w:r>
          </w:p>
        </w:tc>
      </w:tr>
      <w:tr w14:paraId="33EB4A4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FE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77D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A4B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行政区划名称、自然地理实体名称、人文地理实体名称等基础数据进行核查；对命名合规性、拼音标注、标志物关联性等进行规范性核查；对空间位置准确性、属性信息完整性等数据质量进行核查；与相关部门协同核查；做好动态更新与维护。</w:t>
            </w:r>
          </w:p>
        </w:tc>
      </w:tr>
      <w:tr w14:paraId="382197E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FF0F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6B8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EA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3769269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7981C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五、社会保障（3项）</w:t>
            </w:r>
          </w:p>
        </w:tc>
      </w:tr>
      <w:tr w14:paraId="4065688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BE4D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480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80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1E72B14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C81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28D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E5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工作方式：组织核查确认违规领取津贴行为，经办人收集违规领取人员信息，核算其违规领取时间及涉及违规领取金额，下发并送达追缴通知书予违规领取人或其亲属，并对违规领取津贴资金进行追缴。</w:t>
            </w:r>
          </w:p>
        </w:tc>
      </w:tr>
      <w:tr w14:paraId="4B23ECD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B9DA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24E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追缴冒领的养老金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9E4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工作方式：根据《中华人民共和国社会保险法》相关规定，以欺诈、伪造证明材料或者其他手段骗取社会保险待遇的，由区人力资源社会保障局履行工作职责，责令退回骗取的社会保险金，并处以罚款。</w:t>
            </w:r>
          </w:p>
        </w:tc>
      </w:tr>
      <w:tr w14:paraId="1F03443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7D34A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六、自然资源（8项）</w:t>
            </w:r>
          </w:p>
        </w:tc>
      </w:tr>
      <w:tr w14:paraId="5CA0D41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B868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495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AAC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工作方式：进行调查评估，针对违规占用林地、毁林等需恢复的地块，组织专业人员评估恢复难度与补种需求；</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根据评估结果，结合林业技术标准，制定恢复或补种方案；通过政府采购等方式开展相关工作；进行监督验收，确保恢复成效。</w:t>
            </w:r>
          </w:p>
        </w:tc>
      </w:tr>
      <w:tr w14:paraId="2166B49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CE5D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4BB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8FE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工作方式：根据森林督查图斑对全区破坏森林资源问题进行核查，组织开展破坏森林资源问题处罚，监督恢复质量和效果，做好全面核实验收。</w:t>
            </w:r>
          </w:p>
        </w:tc>
      </w:tr>
      <w:tr w14:paraId="5C5DF8F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3AE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13C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D4D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工作方式：市自然资源局南芬分局依法依规对在耕地上非法采砂行为进行监管、协调上级部门对违法行为进行查处；区水利局依法依规对河道水面岸线范围内的非法采砂行为进行监管、查处。</w:t>
            </w:r>
          </w:p>
        </w:tc>
      </w:tr>
      <w:tr w14:paraId="008C5B9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D7E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287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C01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工作方式：根据《中华人民共和国矿产资源法》等法律法规，依法履行生态修复监督管理职责，及时协调解决生态修复中存在的问题。</w:t>
            </w:r>
          </w:p>
        </w:tc>
      </w:tr>
      <w:tr w14:paraId="097B40A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AB22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AE1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0A3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工作方式：制定林业有害生物事件应急预案和处置办法；开展林业有害生物预测预报、检疫和除治工作；做好林业有害生物防治的组织管理和执行森林植物检疫工作；组织森林植物产地检疫签发产地检疫合格证。</w:t>
            </w:r>
          </w:p>
        </w:tc>
      </w:tr>
      <w:tr w14:paraId="1348840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402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407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对行政区域内发生基本农田破坏行为责令改正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E17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市自然资源局南芬分局协调上级部门对违法占用基本农田建窑、建房、建坟、挖砂、采石、采矿、取土、堆放固体废弃物或者从事其他活动破坏基本农田，毁坏种植条件的，责令改正或者治理；区农业农村局对本行政区域内发生的破坏基本农田的行为，依法责令纠正。</w:t>
            </w:r>
          </w:p>
        </w:tc>
      </w:tr>
      <w:tr w14:paraId="5AA3C41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242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A36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对擅自改变林地用途的行为责令整改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566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未经区林草局审核同意，擅自改变林地用途的，由区林草局责令限期恢复植被和林业生产条件。对违反森林法规定，进行开垦、采石、采砂、采土或者其他活动，造成林木毁坏的，由区林草局责令停止违法行为。</w:t>
            </w:r>
          </w:p>
        </w:tc>
      </w:tr>
      <w:tr w14:paraId="75A28A6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9F1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BA3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2CF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承接方式：市自然资源局南芬分局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工作方式：根据《中华人民共和国土地管理法》《中华人民共和国土地管理法实施条例》等法律法规，依法履行土地征收征用管理职责，及时解决土地征收征用中存在的问题。</w:t>
            </w:r>
          </w:p>
        </w:tc>
      </w:tr>
      <w:tr w14:paraId="553467A4">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7483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七、生态环保（1项）</w:t>
            </w:r>
          </w:p>
        </w:tc>
      </w:tr>
      <w:tr w14:paraId="458C89C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515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19D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督促新改、扩迁建项目及时做好环保手续报批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6B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FFC201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E95C8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八、城乡建设（8项）</w:t>
            </w:r>
          </w:p>
        </w:tc>
      </w:tr>
      <w:tr w14:paraId="7381230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86E8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3D2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65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工作方式：根据相关法律法规，建设单位、施工单位、监理单位等应各自承担相应的质量责任，工程质量问题处理整改，因工程质量问题造成的人身、财产损害，相关责任方应依法承担赔偿责任。</w:t>
            </w:r>
          </w:p>
        </w:tc>
      </w:tr>
      <w:tr w14:paraId="3AD2D14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C9C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122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3B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承接部门：市自然资源局南芬分局、区林草局、区农业农村局、区住房城乡建设局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土地管理法实施条例》等法律法规，提请人民法院进行行政裁定后，报区人民政府指定有关部门对违法占用土地（农用地、建设用地、未利用地）上的建筑物、构筑物和其他设施实施拆除工作。</w:t>
            </w:r>
          </w:p>
        </w:tc>
      </w:tr>
      <w:tr w14:paraId="46443DB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2F6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F69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开展违反规划建设行为的巡查监管，对问题线索进行初步调查核实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E7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承接部门：市综合执法局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工作方式：根据《中华人民共和国城乡规划法》《城市管理执法办法》等法律法规，对规划建设情况进行巡查监管，发现违反规划建设行为，核实问题线索，依法进行处置。</w:t>
            </w:r>
          </w:p>
        </w:tc>
      </w:tr>
      <w:tr w14:paraId="7ED93DC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5A2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612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乡路日常巡查工作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2D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工作方式：乡级公路日常养护工作由区交通运输局委托具备资质的第三方公司开展，主要负责乡级公路道路日常巡查、清洁路面、清理边沟等，养护的全过程由区交通运输局进行监督、检查。</w:t>
            </w:r>
          </w:p>
        </w:tc>
      </w:tr>
      <w:tr w14:paraId="0D69BC3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A958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421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23C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集中摸排情况，及时对疑似危房的房屋进行鉴定。按照相关法律法规要求，选定有资质的评估机构，制定评估计划，进行实地查勘，评估房屋价值与安全性，并出具评估报告。如有异议，相对人可申请复核与鉴定。</w:t>
            </w:r>
          </w:p>
        </w:tc>
      </w:tr>
      <w:tr w14:paraId="24290BF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CDC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9EB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A4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聘请专业机构对农村住房安全进行鉴定评定。现场检查和评估其危险程度等级，防灾措施检查和鉴定结果等级，动态监测和整改，评定为C级、D级的房屋，相关部门督促街道分类制定整治措施，及时将符合条件的农户纳入农村危房改造范围。</w:t>
            </w:r>
          </w:p>
        </w:tc>
      </w:tr>
      <w:tr w14:paraId="21CB668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A884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CB9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42E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或委托第三方对自建房安全等级进行鉴定，开展资料收集与现场勘查、结构检测与评估、使用功能评估、耐久性评估，出具鉴定报告与结论，及时发现房屋存在的问题，为房屋的维修、加固或改造提供科学依据。</w:t>
            </w:r>
          </w:p>
        </w:tc>
      </w:tr>
      <w:tr w14:paraId="1D3B0D1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D990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28F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B57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承接部门：市综合执法局、区住房城乡建设局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辽宁省实施&lt;中华人民共和国城乡规划法&gt;办法》等有关法律法规，提请人民法院进行行政裁定后，报区人民政府指定有关部门对经过审批的临时建筑物、构筑物和其他设施实施拆除工作。</w:t>
            </w:r>
          </w:p>
        </w:tc>
      </w:tr>
      <w:tr w14:paraId="338702A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B4D9E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00CEC26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E81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5D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2D1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6558246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25224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十、卫生健康（10项）</w:t>
            </w:r>
          </w:p>
        </w:tc>
      </w:tr>
      <w:tr w14:paraId="4C80D61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249C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A3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55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076D983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B133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024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DB6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工作方式：登录托育机构备案信息系统，对登记后的托育机构在线填写托育点备案书、备案承诺书并提交相关材料；对备案的托育机构进行宣传、监督管理等工作。</w:t>
            </w:r>
          </w:p>
        </w:tc>
      </w:tr>
      <w:tr w14:paraId="0C677E1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B9A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451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9EB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5AF8F1A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9AC8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745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21F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随访结果及时填写《早孕随访记录表》及《妊娠结局记录表》。</w:t>
            </w:r>
          </w:p>
        </w:tc>
      </w:tr>
      <w:tr w14:paraId="1F62C40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F73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F22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1B5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工作方式：提前策划活动方案，明确主题与形式；通过线上线下宣传动员；活动中开展知识宣讲、义诊咨询等服务；活动后整理资料、总结经验并做好宣传推广。</w:t>
            </w:r>
          </w:p>
        </w:tc>
      </w:tr>
      <w:tr w14:paraId="515FC07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1C90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95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C3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工作方式：通过设立固定发放点、开展入户发放、利用线上平台预约等方式，登记需求信息，按需发放药具，并提供使用指导和随访服务。</w:t>
            </w:r>
          </w:p>
        </w:tc>
      </w:tr>
      <w:tr w14:paraId="456280D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85F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631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6A0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2D61A49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060D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5E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C5B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卫生健康局牵头，通过数据比对、群众举报等方式筛查超领、冒领线索，开展调查核实，明确违规事实后，下达追缴通知，督促限期退回资金，对拒不退还的依法处理并做好后续记录。区妇幼保健中心配合对超领、冒领计划生育各类扶助资金、补助资金行为进行调查核实并追回。</w:t>
            </w:r>
          </w:p>
        </w:tc>
      </w:tr>
      <w:tr w14:paraId="5438DE8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799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55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A6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69F1602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0E9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73E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DC9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31AAD92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C3937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十一、应急管理及消防（11项）</w:t>
            </w:r>
          </w:p>
        </w:tc>
      </w:tr>
      <w:tr w14:paraId="5AE3E9A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D5B3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425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EF8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3D4EF43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6824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33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D4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工作方式：根据相关法律法规，对矿山安全进行监督指导，检查安全状况、作业场所、生产设备、职工安全教育、培训工作等情况。监督企业履行法定职责，加强安全生产标准化、安全预防控制体系建设等工作。</w:t>
            </w:r>
          </w:p>
        </w:tc>
      </w:tr>
      <w:tr w14:paraId="60C9317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C20A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D60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DF5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非煤矿山外包工程安全管理暂行办法》等法律法规，依法对企业和外包施工单位进行监督检查，发现隐患和问题，依据技术规范与标准，及时责令单位进行整改，并依法依规处理。</w:t>
            </w:r>
          </w:p>
        </w:tc>
      </w:tr>
      <w:tr w14:paraId="77C90E3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BDC9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07A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184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521C239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CCC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BC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C9E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工作方式：根据《中华人民共和国安全生产法》《工贸企业有限空间作业安全规定》等法律法规，将检查纳入年度监督检查计划，对企业进行监督检查，发现隐患和问题，及时责令单位进行整改。</w:t>
            </w:r>
          </w:p>
        </w:tc>
      </w:tr>
      <w:tr w14:paraId="2D9373B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AA42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682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4C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工作方式：根据《中华人民共和国安全生产法》《工贸企业重大事故隐患判定标准》等法律法规，将检查纳入年度监督检查计划，对企业进行监督检查，发现问题及时责令整改并依法处理。</w:t>
            </w:r>
          </w:p>
        </w:tc>
      </w:tr>
      <w:tr w14:paraId="0B6967B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995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E27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22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小型露天采石场安全管理与监督检查规定》等法律法规，对小型露天采石场安全生产情况、事故隐患排查情况进行监督检查，监督指导企业严格履行法定职责，加强安全生产标准化、安全预防控制体系建设等工作。</w:t>
            </w:r>
          </w:p>
        </w:tc>
      </w:tr>
      <w:tr w14:paraId="62D4D84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80F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5DA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67F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4F97566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28D5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779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B8E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督促企业整改并上报。</w:t>
            </w:r>
          </w:p>
        </w:tc>
      </w:tr>
      <w:tr w14:paraId="4E1F1F3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CC07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119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4ED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工作方式：根据《中华人民共和国安全生产法》《企业安全生产费用提取和使用管理办法》等法律法规，按照分级原则对监管企业是否按要求进行安全生产费用计提、管理和使用进行监督检查。</w:t>
            </w:r>
          </w:p>
        </w:tc>
      </w:tr>
      <w:tr w14:paraId="39CF22E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D68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53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3C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58B8263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3B700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十二、市场监管（1项）</w:t>
            </w:r>
          </w:p>
        </w:tc>
      </w:tr>
      <w:tr w14:paraId="036D174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370C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A8F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对违规违法经营的食品摊贩予以制止并限期整改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EFC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动态巡查、联合执法，对食品生产加工小作坊生产加工的食品标签不符合要求的、食品摊贩登记备案卡有效期届满未按照规定办理延续手续继续从事食品经营活动的等情形，采取现场指导整改及限期取缔等方式，强化食品摊贩监管，保障食品安全。</w:t>
            </w:r>
          </w:p>
        </w:tc>
      </w:tr>
    </w:tbl>
    <w:p w14:paraId="4DCDF1E7">
      <w:pPr>
        <w:pStyle w:val="3"/>
        <w:spacing w:before="0" w:after="0" w:line="240" w:lineRule="auto"/>
        <w:jc w:val="center"/>
        <w:rPr>
          <w:rFonts w:ascii="Times New Roman" w:hAnsi="Times New Roman" w:eastAsia="方正小标宋_GBK" w:cs="Times New Roman"/>
          <w:color w:val="auto"/>
          <w:spacing w:val="7"/>
          <w:lang w:eastAsia="zh-CN"/>
        </w:rPr>
      </w:pPr>
    </w:p>
    <w:p w14:paraId="44652FCE">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fmt="decimal"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5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500000000000000"/>
    <w:charset w:val="86"/>
    <w:family w:val="auto"/>
    <w:pitch w:val="default"/>
    <w:sig w:usb0="00000000" w:usb1="00000000"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方正公文黑体">
    <w:altName w:val="黑体"/>
    <w:panose1 w:val="02000500000000000000"/>
    <w:charset w:val="86"/>
    <w:family w:val="auto"/>
    <w:pitch w:val="default"/>
    <w:sig w:usb0="00000000" w:usb1="00000000"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E4AA6">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75800B52">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75800B52">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1EB76">
    <w:pPr>
      <w:pStyle w:val="5"/>
      <w:jc w:val="center"/>
      <w:rPr>
        <w:rFonts w:ascii="方正仿宋简体" w:hAnsi="方正仿宋简体" w:eastAsia="方正仿宋简体" w:cs="方正仿宋简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5DCF19">
                          <w:pPr>
                            <w:pStyle w:val="5"/>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85DCF19">
                    <w:pPr>
                      <w:pStyle w:val="5"/>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045C4ABB"/>
    <w:rsid w:val="2D4618D5"/>
    <w:rsid w:val="373F2D98"/>
    <w:rsid w:val="41F1405D"/>
    <w:rsid w:val="596B3610"/>
    <w:rsid w:val="72F11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autoRedefine/>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57</Pages>
  <Words>37979</Words>
  <Characters>39004</Characters>
  <Lines>1</Lines>
  <Paragraphs>1</Paragraphs>
  <TotalTime>0</TotalTime>
  <ScaleCrop>false</ScaleCrop>
  <LinksUpToDate>false</LinksUpToDate>
  <CharactersWithSpaces>39103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五福临门</cp:lastModifiedBy>
  <dcterms:modified xsi:type="dcterms:W3CDTF">2025-07-01T01:33:42Z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eyJoZGlkIjoiZGZlYjM4YWJjZDgyM2YyYzVlMGFjYmM3MjExMDE5NzciLCJ1c2VySWQiOiI4NzIzODE1MjQifQ==</vt:lpwstr>
  </property>
  <property fmtid="{D5CDD505-2E9C-101B-9397-08002B2CF9AE}" pid="3" name="KSOProductBuildVer">
    <vt:lpwstr>2052-12.1.0.21541</vt:lpwstr>
  </property>
  <property fmtid="{D5CDD505-2E9C-101B-9397-08002B2CF9AE}" pid="4" name="ICV">
    <vt:lpwstr>89E8800EB1A743EFBF0BD16DDE48C3BC_13</vt:lpwstr>
  </property>
</Properties>
</file>