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35DDA">
      <w:pPr>
        <w:spacing w:line="540" w:lineRule="exact"/>
        <w:rPr>
          <w:rFonts w:ascii="仿宋_GB2312" w:eastAsia="仿宋_GB2312"/>
          <w:b/>
          <w:sz w:val="32"/>
          <w:szCs w:val="32"/>
        </w:rPr>
      </w:pPr>
      <w:bookmarkStart w:id="0" w:name="_GoBack"/>
      <w:bookmarkEnd w:id="0"/>
      <w:r>
        <w:rPr>
          <w:rFonts w:hint="eastAsia" w:ascii="仿宋_GB2312" w:eastAsia="仿宋_GB2312"/>
          <w:b/>
          <w:sz w:val="32"/>
          <w:szCs w:val="32"/>
        </w:rPr>
        <w:t>附件2</w:t>
      </w:r>
    </w:p>
    <w:p w14:paraId="5E07A0F4">
      <w:pPr>
        <w:spacing w:line="540" w:lineRule="exact"/>
        <w:jc w:val="center"/>
        <w:rPr>
          <w:b/>
          <w:sz w:val="44"/>
          <w:szCs w:val="44"/>
          <w:u w:val="single"/>
        </w:rPr>
      </w:pPr>
    </w:p>
    <w:p w14:paraId="5E41821A">
      <w:pPr>
        <w:spacing w:line="540" w:lineRule="exact"/>
        <w:jc w:val="center"/>
        <w:rPr>
          <w:b/>
          <w:sz w:val="44"/>
          <w:szCs w:val="44"/>
          <w:u w:val="single"/>
        </w:rPr>
      </w:pPr>
    </w:p>
    <w:p w14:paraId="49436204">
      <w:pPr>
        <w:spacing w:line="540" w:lineRule="exact"/>
        <w:rPr>
          <w:b/>
          <w:sz w:val="44"/>
          <w:szCs w:val="44"/>
          <w:u w:val="single"/>
        </w:rPr>
      </w:pPr>
    </w:p>
    <w:p w14:paraId="09B17D25">
      <w:pPr>
        <w:spacing w:line="540" w:lineRule="exact"/>
        <w:rPr>
          <w:b/>
          <w:sz w:val="44"/>
          <w:szCs w:val="44"/>
          <w:u w:val="single"/>
        </w:rPr>
      </w:pPr>
    </w:p>
    <w:p w14:paraId="51FAA885">
      <w:pPr>
        <w:spacing w:line="540" w:lineRule="exact"/>
        <w:rPr>
          <w:b/>
          <w:sz w:val="44"/>
          <w:szCs w:val="44"/>
          <w:u w:val="single"/>
        </w:rPr>
      </w:pPr>
    </w:p>
    <w:p w14:paraId="269D62F2">
      <w:pPr>
        <w:spacing w:line="540" w:lineRule="exact"/>
        <w:jc w:val="center"/>
        <w:rPr>
          <w:b/>
          <w:sz w:val="44"/>
          <w:szCs w:val="44"/>
          <w:u w:val="single"/>
        </w:rPr>
      </w:pPr>
    </w:p>
    <w:p w14:paraId="48C6DEC0">
      <w:pPr>
        <w:spacing w:line="540" w:lineRule="exact"/>
        <w:jc w:val="center"/>
        <w:rPr>
          <w:b/>
          <w:sz w:val="44"/>
          <w:szCs w:val="44"/>
          <w:u w:val="single"/>
        </w:rPr>
      </w:pPr>
    </w:p>
    <w:p w14:paraId="1F4C7B60">
      <w:pPr>
        <w:spacing w:line="540" w:lineRule="exact"/>
        <w:jc w:val="center"/>
        <w:rPr>
          <w:b/>
          <w:sz w:val="44"/>
          <w:szCs w:val="44"/>
          <w:u w:val="single"/>
        </w:rPr>
      </w:pPr>
    </w:p>
    <w:p w14:paraId="55C05FC6">
      <w:pPr>
        <w:spacing w:line="540" w:lineRule="exact"/>
        <w:jc w:val="center"/>
        <w:rPr>
          <w:b/>
          <w:sz w:val="44"/>
          <w:szCs w:val="44"/>
          <w:u w:val="single"/>
        </w:rPr>
      </w:pPr>
      <w:r>
        <w:rPr>
          <w:rFonts w:hint="eastAsia" w:ascii="宋体" w:hAnsi="宋体"/>
          <w:b/>
          <w:sz w:val="52"/>
          <w:szCs w:val="52"/>
        </w:rPr>
        <w:t>本溪市南芬区司法局2021年度</w:t>
      </w:r>
      <w:r>
        <w:rPr>
          <w:rFonts w:hint="eastAsia" w:ascii="宋体" w:hAnsi="宋体"/>
          <w:b/>
          <w:sz w:val="52"/>
          <w:szCs w:val="52"/>
        </w:rPr>
        <w:br w:type="textWrapping"/>
      </w:r>
      <w:r>
        <w:rPr>
          <w:rFonts w:hint="eastAsia" w:ascii="宋体" w:hAnsi="宋体"/>
          <w:b/>
          <w:sz w:val="52"/>
          <w:szCs w:val="52"/>
        </w:rPr>
        <w:t>部门决算</w:t>
      </w:r>
    </w:p>
    <w:p w14:paraId="735A3C88">
      <w:pPr>
        <w:spacing w:line="540" w:lineRule="exact"/>
        <w:jc w:val="center"/>
        <w:rPr>
          <w:b/>
          <w:sz w:val="44"/>
          <w:szCs w:val="44"/>
          <w:u w:val="single"/>
        </w:rPr>
      </w:pPr>
    </w:p>
    <w:p w14:paraId="1FDABB70">
      <w:pPr>
        <w:spacing w:line="540" w:lineRule="exact"/>
        <w:jc w:val="center"/>
        <w:rPr>
          <w:b/>
          <w:sz w:val="44"/>
          <w:szCs w:val="44"/>
          <w:u w:val="single"/>
        </w:rPr>
      </w:pPr>
    </w:p>
    <w:p w14:paraId="2C0A2DB7">
      <w:pPr>
        <w:spacing w:line="540" w:lineRule="exact"/>
        <w:jc w:val="center"/>
        <w:rPr>
          <w:b/>
          <w:sz w:val="44"/>
          <w:szCs w:val="44"/>
          <w:u w:val="single"/>
        </w:rPr>
      </w:pPr>
    </w:p>
    <w:p w14:paraId="166E738F">
      <w:pPr>
        <w:spacing w:line="540" w:lineRule="exact"/>
        <w:jc w:val="center"/>
        <w:rPr>
          <w:b/>
          <w:sz w:val="44"/>
          <w:szCs w:val="44"/>
          <w:u w:val="single"/>
        </w:rPr>
      </w:pPr>
    </w:p>
    <w:p w14:paraId="127B57C1">
      <w:pPr>
        <w:spacing w:line="540" w:lineRule="exact"/>
        <w:jc w:val="center"/>
        <w:rPr>
          <w:b/>
          <w:sz w:val="44"/>
          <w:szCs w:val="44"/>
          <w:u w:val="single"/>
        </w:rPr>
      </w:pPr>
    </w:p>
    <w:p w14:paraId="32409EF7">
      <w:pPr>
        <w:spacing w:line="540" w:lineRule="exact"/>
        <w:jc w:val="center"/>
        <w:rPr>
          <w:b/>
          <w:sz w:val="44"/>
          <w:szCs w:val="44"/>
          <w:u w:val="single"/>
        </w:rPr>
      </w:pPr>
    </w:p>
    <w:p w14:paraId="2E02358E">
      <w:pPr>
        <w:spacing w:line="540" w:lineRule="exact"/>
        <w:jc w:val="center"/>
        <w:rPr>
          <w:b/>
          <w:sz w:val="44"/>
          <w:szCs w:val="44"/>
          <w:u w:val="single"/>
        </w:rPr>
      </w:pPr>
    </w:p>
    <w:p w14:paraId="1705A17D">
      <w:pPr>
        <w:spacing w:line="540" w:lineRule="exact"/>
        <w:jc w:val="center"/>
        <w:rPr>
          <w:b/>
          <w:sz w:val="44"/>
          <w:szCs w:val="44"/>
          <w:u w:val="single"/>
        </w:rPr>
      </w:pPr>
    </w:p>
    <w:p w14:paraId="68057009">
      <w:pPr>
        <w:spacing w:line="540" w:lineRule="exact"/>
        <w:jc w:val="center"/>
        <w:rPr>
          <w:b/>
          <w:sz w:val="44"/>
          <w:szCs w:val="44"/>
          <w:u w:val="single"/>
        </w:rPr>
      </w:pPr>
    </w:p>
    <w:p w14:paraId="5A6137EE">
      <w:pPr>
        <w:spacing w:line="540" w:lineRule="exact"/>
        <w:jc w:val="center"/>
        <w:rPr>
          <w:b/>
          <w:sz w:val="44"/>
          <w:szCs w:val="44"/>
          <w:u w:val="single"/>
        </w:rPr>
      </w:pPr>
    </w:p>
    <w:p w14:paraId="756FDC1F">
      <w:pPr>
        <w:spacing w:line="540" w:lineRule="exact"/>
        <w:jc w:val="center"/>
        <w:rPr>
          <w:b/>
          <w:sz w:val="44"/>
          <w:szCs w:val="44"/>
          <w:u w:val="single"/>
        </w:rPr>
      </w:pPr>
    </w:p>
    <w:p w14:paraId="61FA6530">
      <w:pPr>
        <w:spacing w:line="540" w:lineRule="exact"/>
        <w:jc w:val="center"/>
        <w:rPr>
          <w:b/>
          <w:sz w:val="44"/>
          <w:szCs w:val="44"/>
        </w:rPr>
      </w:pPr>
    </w:p>
    <w:p w14:paraId="2CD63192">
      <w:pPr>
        <w:spacing w:line="540" w:lineRule="exact"/>
        <w:jc w:val="center"/>
        <w:rPr>
          <w:b/>
          <w:sz w:val="44"/>
          <w:szCs w:val="44"/>
        </w:rPr>
      </w:pPr>
    </w:p>
    <w:p w14:paraId="24E2D98C">
      <w:pPr>
        <w:spacing w:line="540" w:lineRule="exact"/>
        <w:jc w:val="center"/>
        <w:rPr>
          <w:b/>
          <w:sz w:val="44"/>
          <w:szCs w:val="44"/>
        </w:rPr>
      </w:pPr>
    </w:p>
    <w:p w14:paraId="01DC8DD2">
      <w:pPr>
        <w:spacing w:line="540" w:lineRule="exact"/>
        <w:jc w:val="center"/>
        <w:rPr>
          <w:b/>
          <w:sz w:val="44"/>
          <w:szCs w:val="44"/>
        </w:rPr>
      </w:pPr>
      <w:r>
        <w:rPr>
          <w:rFonts w:hint="eastAsia"/>
          <w:b/>
          <w:sz w:val="44"/>
          <w:szCs w:val="44"/>
        </w:rPr>
        <w:t>目    录</w:t>
      </w:r>
    </w:p>
    <w:p w14:paraId="48D2230F">
      <w:pPr>
        <w:spacing w:line="540" w:lineRule="exact"/>
        <w:rPr>
          <w:b/>
          <w:sz w:val="44"/>
          <w:szCs w:val="44"/>
          <w:u w:val="single"/>
        </w:rPr>
      </w:pPr>
    </w:p>
    <w:p w14:paraId="6BB6B15C">
      <w:pPr>
        <w:spacing w:line="540" w:lineRule="exact"/>
        <w:rPr>
          <w:b/>
          <w:sz w:val="44"/>
          <w:szCs w:val="44"/>
          <w:u w:val="single"/>
        </w:rPr>
      </w:pPr>
    </w:p>
    <w:p w14:paraId="6463AA76">
      <w:pPr>
        <w:spacing w:line="540" w:lineRule="exact"/>
        <w:rPr>
          <w:rFonts w:ascii="黑体" w:hAnsi="黑体" w:eastAsia="黑体"/>
          <w:sz w:val="32"/>
          <w:szCs w:val="32"/>
        </w:rPr>
      </w:pPr>
      <w:r>
        <w:rPr>
          <w:rFonts w:hint="eastAsia" w:ascii="黑体" w:hAnsi="黑体" w:eastAsia="黑体"/>
          <w:sz w:val="32"/>
          <w:szCs w:val="32"/>
        </w:rPr>
        <w:t>第一部分    本溪市南芬区司法局概况</w:t>
      </w:r>
    </w:p>
    <w:p w14:paraId="6A069998">
      <w:pPr>
        <w:numPr>
          <w:ilvl w:val="0"/>
          <w:numId w:val="1"/>
        </w:numPr>
        <w:spacing w:line="540" w:lineRule="exact"/>
        <w:rPr>
          <w:rFonts w:ascii="仿宋_GB2312" w:hAnsi="黑体" w:eastAsia="仿宋_GB2312"/>
          <w:sz w:val="32"/>
          <w:szCs w:val="32"/>
        </w:rPr>
      </w:pPr>
      <w:r>
        <w:rPr>
          <w:rFonts w:hint="eastAsia" w:ascii="仿宋_GB2312" w:hAnsi="黑体" w:eastAsia="仿宋_GB2312"/>
          <w:sz w:val="32"/>
          <w:szCs w:val="32"/>
        </w:rPr>
        <w:t>主要职责</w:t>
      </w:r>
    </w:p>
    <w:p w14:paraId="018BA284">
      <w:pPr>
        <w:numPr>
          <w:ilvl w:val="0"/>
          <w:numId w:val="1"/>
        </w:numPr>
        <w:spacing w:line="540" w:lineRule="exact"/>
        <w:rPr>
          <w:rFonts w:ascii="仿宋_GB2312" w:hAnsi="黑体" w:eastAsia="仿宋_GB2312"/>
          <w:sz w:val="32"/>
          <w:szCs w:val="32"/>
        </w:rPr>
      </w:pPr>
      <w:r>
        <w:rPr>
          <w:rFonts w:hint="eastAsia" w:ascii="仿宋_GB2312" w:hAnsi="黑体" w:eastAsia="仿宋_GB2312"/>
          <w:sz w:val="32"/>
          <w:szCs w:val="32"/>
        </w:rPr>
        <w:t>部门决算单位构成</w:t>
      </w:r>
    </w:p>
    <w:p w14:paraId="02B611D0">
      <w:pPr>
        <w:spacing w:line="540" w:lineRule="exact"/>
        <w:rPr>
          <w:rFonts w:ascii="黑体" w:hAnsi="黑体" w:eastAsia="黑体"/>
          <w:sz w:val="32"/>
          <w:szCs w:val="32"/>
        </w:rPr>
      </w:pPr>
      <w:r>
        <w:rPr>
          <w:rFonts w:hint="eastAsia" w:ascii="黑体" w:hAnsi="黑体" w:eastAsia="黑体"/>
          <w:sz w:val="32"/>
          <w:szCs w:val="32"/>
        </w:rPr>
        <w:t>第二部分    本溪市南芬区司法局2021年度部门决算公开报表</w:t>
      </w:r>
    </w:p>
    <w:p w14:paraId="7E1230A7">
      <w:pPr>
        <w:spacing w:line="540" w:lineRule="exact"/>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2021年度收入支出决算总表</w:t>
      </w:r>
    </w:p>
    <w:p w14:paraId="0931830D">
      <w:pPr>
        <w:spacing w:line="540" w:lineRule="exact"/>
        <w:rPr>
          <w:rFonts w:ascii="仿宋_GB2312" w:eastAsia="仿宋_GB2312"/>
          <w:sz w:val="32"/>
          <w:szCs w:val="32"/>
        </w:rPr>
      </w:pPr>
      <w:r>
        <w:rPr>
          <w:rFonts w:hint="eastAsia" w:ascii="仿宋_GB2312" w:eastAsia="仿宋_GB2312"/>
          <w:sz w:val="32"/>
          <w:szCs w:val="32"/>
        </w:rPr>
        <w:t>二、</w:t>
      </w:r>
      <w:r>
        <w:rPr>
          <w:rFonts w:hint="eastAsia" w:ascii="仿宋_GB2312" w:hAnsi="仿宋" w:eastAsia="仿宋_GB2312"/>
          <w:sz w:val="32"/>
          <w:szCs w:val="32"/>
        </w:rPr>
        <w:t>2021年度</w:t>
      </w:r>
      <w:r>
        <w:rPr>
          <w:rFonts w:hint="eastAsia" w:ascii="仿宋_GB2312" w:eastAsia="仿宋_GB2312"/>
          <w:sz w:val="32"/>
          <w:szCs w:val="32"/>
        </w:rPr>
        <w:t>收入决算表</w:t>
      </w:r>
    </w:p>
    <w:p w14:paraId="09F87733">
      <w:pPr>
        <w:spacing w:line="540" w:lineRule="exact"/>
        <w:rPr>
          <w:rFonts w:ascii="仿宋_GB2312" w:eastAsia="仿宋_GB2312"/>
          <w:sz w:val="32"/>
          <w:szCs w:val="32"/>
        </w:rPr>
      </w:pPr>
      <w:r>
        <w:rPr>
          <w:rFonts w:hint="eastAsia" w:ascii="仿宋_GB2312" w:eastAsia="仿宋_GB2312"/>
          <w:sz w:val="32"/>
          <w:szCs w:val="32"/>
        </w:rPr>
        <w:t>三、2021</w:t>
      </w:r>
      <w:r>
        <w:rPr>
          <w:rFonts w:hint="eastAsia" w:ascii="仿宋_GB2312" w:hAnsi="仿宋" w:eastAsia="仿宋_GB2312"/>
          <w:sz w:val="32"/>
          <w:szCs w:val="32"/>
        </w:rPr>
        <w:t>年度</w:t>
      </w:r>
      <w:r>
        <w:rPr>
          <w:rFonts w:hint="eastAsia" w:ascii="仿宋_GB2312" w:eastAsia="仿宋_GB2312"/>
          <w:sz w:val="32"/>
          <w:szCs w:val="32"/>
        </w:rPr>
        <w:t>支出决算表</w:t>
      </w:r>
    </w:p>
    <w:p w14:paraId="03532A2D">
      <w:pPr>
        <w:spacing w:line="540" w:lineRule="exact"/>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2021年度财政拨款收入支出决算总表</w:t>
      </w:r>
    </w:p>
    <w:p w14:paraId="1F239EF2">
      <w:pPr>
        <w:spacing w:line="540" w:lineRule="exact"/>
        <w:rPr>
          <w:rFonts w:ascii="仿宋_GB2312" w:eastAsia="仿宋_GB2312"/>
          <w:sz w:val="32"/>
          <w:szCs w:val="32"/>
        </w:rPr>
      </w:pPr>
      <w:r>
        <w:rPr>
          <w:rFonts w:hint="eastAsia" w:ascii="仿宋_GB2312" w:eastAsia="仿宋_GB2312"/>
          <w:sz w:val="32"/>
          <w:szCs w:val="32"/>
        </w:rPr>
        <w:t>五、</w:t>
      </w:r>
      <w:r>
        <w:rPr>
          <w:rFonts w:ascii="仿宋_GB2312" w:eastAsia="仿宋_GB2312"/>
          <w:sz w:val="32"/>
          <w:szCs w:val="32"/>
        </w:rPr>
        <w:t>20</w:t>
      </w:r>
      <w:r>
        <w:rPr>
          <w:rFonts w:hint="eastAsia" w:ascii="仿宋_GB2312" w:eastAsia="仿宋_GB2312"/>
          <w:sz w:val="32"/>
          <w:szCs w:val="32"/>
        </w:rPr>
        <w:t>21</w:t>
      </w:r>
      <w:r>
        <w:rPr>
          <w:rFonts w:ascii="仿宋_GB2312" w:eastAsia="仿宋_GB2312"/>
          <w:sz w:val="32"/>
          <w:szCs w:val="32"/>
        </w:rPr>
        <w:t>年度</w:t>
      </w:r>
      <w:r>
        <w:rPr>
          <w:rFonts w:hint="eastAsia" w:ascii="仿宋_GB2312" w:eastAsia="仿宋_GB2312"/>
          <w:sz w:val="32"/>
          <w:szCs w:val="32"/>
        </w:rPr>
        <w:t>一般公共预算</w:t>
      </w:r>
      <w:r>
        <w:rPr>
          <w:rFonts w:ascii="仿宋_GB2312" w:eastAsia="仿宋_GB2312"/>
          <w:sz w:val="32"/>
          <w:szCs w:val="32"/>
        </w:rPr>
        <w:t>财政拨款</w:t>
      </w:r>
      <w:r>
        <w:rPr>
          <w:rFonts w:hint="eastAsia" w:ascii="仿宋_GB2312" w:eastAsia="仿宋_GB2312"/>
          <w:sz w:val="32"/>
          <w:szCs w:val="32"/>
        </w:rPr>
        <w:t>收入</w:t>
      </w:r>
      <w:r>
        <w:rPr>
          <w:rFonts w:ascii="仿宋_GB2312" w:eastAsia="仿宋_GB2312"/>
          <w:sz w:val="32"/>
          <w:szCs w:val="32"/>
        </w:rPr>
        <w:t>支出决算表</w:t>
      </w:r>
    </w:p>
    <w:p w14:paraId="2A9BE7C3">
      <w:pPr>
        <w:spacing w:line="540" w:lineRule="exact"/>
        <w:rPr>
          <w:rFonts w:ascii="仿宋_GB2312" w:eastAsia="仿宋_GB2312"/>
          <w:sz w:val="32"/>
          <w:szCs w:val="32"/>
        </w:rPr>
      </w:pPr>
      <w:r>
        <w:rPr>
          <w:rFonts w:hint="eastAsia" w:ascii="仿宋_GB2312" w:eastAsia="仿宋_GB2312"/>
          <w:sz w:val="32"/>
          <w:szCs w:val="32"/>
        </w:rPr>
        <w:t>六、</w:t>
      </w:r>
      <w:r>
        <w:rPr>
          <w:rFonts w:ascii="仿宋_GB2312" w:eastAsia="仿宋_GB2312"/>
          <w:sz w:val="32"/>
          <w:szCs w:val="32"/>
        </w:rPr>
        <w:t>20</w:t>
      </w:r>
      <w:r>
        <w:rPr>
          <w:rFonts w:hint="eastAsia" w:ascii="仿宋_GB2312" w:eastAsia="仿宋_GB2312"/>
          <w:sz w:val="32"/>
          <w:szCs w:val="32"/>
        </w:rPr>
        <w:t>21</w:t>
      </w:r>
      <w:r>
        <w:rPr>
          <w:rFonts w:ascii="仿宋_GB2312" w:eastAsia="仿宋_GB2312"/>
          <w:sz w:val="32"/>
          <w:szCs w:val="32"/>
        </w:rPr>
        <w:t>年度</w:t>
      </w:r>
      <w:r>
        <w:rPr>
          <w:rFonts w:hint="eastAsia" w:ascii="仿宋_GB2312" w:eastAsia="仿宋_GB2312"/>
          <w:sz w:val="32"/>
          <w:szCs w:val="32"/>
        </w:rPr>
        <w:t>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53C91A32">
      <w:pPr>
        <w:spacing w:line="540" w:lineRule="exact"/>
        <w:rPr>
          <w:rFonts w:ascii="仿宋_GB2312" w:eastAsia="仿宋_GB2312"/>
          <w:sz w:val="32"/>
          <w:szCs w:val="32"/>
        </w:rPr>
      </w:pPr>
      <w:r>
        <w:rPr>
          <w:rFonts w:hint="eastAsia" w:ascii="仿宋_GB2312" w:eastAsia="仿宋_GB2312"/>
          <w:sz w:val="32"/>
          <w:szCs w:val="32"/>
        </w:rPr>
        <w:t>七、</w:t>
      </w:r>
      <w:r>
        <w:rPr>
          <w:rFonts w:hint="eastAsia" w:ascii="仿宋_GB2312" w:hAnsi="仿宋" w:eastAsia="仿宋_GB2312"/>
          <w:sz w:val="32"/>
          <w:szCs w:val="32"/>
        </w:rPr>
        <w:t>2021年度</w:t>
      </w:r>
      <w:r>
        <w:rPr>
          <w:rFonts w:ascii="仿宋_GB2312" w:eastAsia="仿宋_GB2312"/>
          <w:sz w:val="32"/>
          <w:szCs w:val="32"/>
        </w:rPr>
        <w:t>政府性基金预算财政拨款收入支出决算表</w:t>
      </w:r>
    </w:p>
    <w:p w14:paraId="58B8AA45">
      <w:pPr>
        <w:spacing w:line="540" w:lineRule="exact"/>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20</w:t>
      </w:r>
      <w:r>
        <w:rPr>
          <w:rFonts w:hint="eastAsia" w:ascii="仿宋_GB2312" w:eastAsia="仿宋_GB2312"/>
          <w:sz w:val="32"/>
          <w:szCs w:val="32"/>
        </w:rPr>
        <w:t>21</w:t>
      </w:r>
      <w:r>
        <w:rPr>
          <w:rFonts w:hint="eastAsia" w:ascii="仿宋_GB2312" w:hAnsi="仿宋" w:eastAsia="仿宋_GB2312"/>
          <w:sz w:val="32"/>
          <w:szCs w:val="32"/>
        </w:rPr>
        <w:t>年度国有资本经营预算财政拨款支出决算表</w:t>
      </w:r>
    </w:p>
    <w:p w14:paraId="772906F4">
      <w:pPr>
        <w:spacing w:line="540" w:lineRule="exact"/>
        <w:ind w:left="640" w:hanging="640" w:hangingChars="200"/>
        <w:rPr>
          <w:rFonts w:ascii="仿宋_GB2312" w:eastAsia="仿宋_GB2312"/>
          <w:sz w:val="32"/>
          <w:szCs w:val="32"/>
        </w:rPr>
      </w:pPr>
      <w:r>
        <w:rPr>
          <w:rFonts w:hint="eastAsia" w:ascii="仿宋_GB2312" w:eastAsia="仿宋_GB2312"/>
          <w:sz w:val="32"/>
          <w:szCs w:val="32"/>
        </w:rPr>
        <w:t>九、2021年度一般公共预算财政拨款</w:t>
      </w:r>
      <w:r>
        <w:rPr>
          <w:rFonts w:hint="eastAsia" w:ascii="仿宋_GB2312" w:eastAsia="仿宋_GB2312"/>
          <w:sz w:val="32"/>
          <w:szCs w:val="32"/>
          <w:lang w:eastAsia="zh-CN"/>
        </w:rPr>
        <w:t>“三公”经费</w:t>
      </w:r>
      <w:r>
        <w:rPr>
          <w:rFonts w:hint="eastAsia" w:ascii="仿宋_GB2312" w:eastAsia="仿宋_GB2312"/>
          <w:sz w:val="32"/>
          <w:szCs w:val="32"/>
        </w:rPr>
        <w:t>支出决算表</w:t>
      </w:r>
    </w:p>
    <w:p w14:paraId="7A3AA3E2">
      <w:pPr>
        <w:spacing w:line="540" w:lineRule="exact"/>
        <w:ind w:left="640" w:hanging="640" w:hangingChars="200"/>
        <w:rPr>
          <w:rFonts w:ascii="仿宋_GB2312" w:eastAsia="仿宋_GB2312"/>
          <w:sz w:val="32"/>
          <w:szCs w:val="32"/>
        </w:rPr>
      </w:pPr>
    </w:p>
    <w:p w14:paraId="7AF5D155">
      <w:pPr>
        <w:spacing w:line="540" w:lineRule="exact"/>
        <w:rPr>
          <w:rFonts w:ascii="黑体" w:hAnsi="黑体" w:eastAsia="黑体"/>
          <w:sz w:val="32"/>
          <w:szCs w:val="32"/>
        </w:rPr>
      </w:pPr>
      <w:r>
        <w:rPr>
          <w:rFonts w:hint="eastAsia" w:ascii="黑体" w:hAnsi="黑体" w:eastAsia="黑体"/>
          <w:sz w:val="32"/>
          <w:szCs w:val="32"/>
        </w:rPr>
        <w:t>第三部分    本溪市南芬区司法局2021年度部门决算情况说明</w:t>
      </w:r>
    </w:p>
    <w:p w14:paraId="2675E740">
      <w:pPr>
        <w:spacing w:line="540" w:lineRule="exact"/>
        <w:rPr>
          <w:rFonts w:ascii="黑体" w:hAnsi="黑体" w:eastAsia="黑体"/>
          <w:sz w:val="32"/>
          <w:szCs w:val="32"/>
        </w:rPr>
      </w:pPr>
      <w:r>
        <w:rPr>
          <w:rFonts w:hint="eastAsia" w:ascii="黑体" w:hAnsi="黑体" w:eastAsia="黑体"/>
          <w:sz w:val="32"/>
          <w:szCs w:val="32"/>
        </w:rPr>
        <w:t>第四部分    名词解释</w:t>
      </w:r>
    </w:p>
    <w:p w14:paraId="2E7F1935">
      <w:pPr>
        <w:spacing w:line="540" w:lineRule="exact"/>
        <w:jc w:val="center"/>
        <w:rPr>
          <w:rFonts w:ascii="黑体" w:hAnsi="黑体" w:eastAsia="黑体"/>
          <w:b/>
          <w:sz w:val="44"/>
          <w:szCs w:val="44"/>
          <w:u w:val="single"/>
        </w:rPr>
      </w:pPr>
    </w:p>
    <w:p w14:paraId="139E8B7E">
      <w:pPr>
        <w:spacing w:line="540" w:lineRule="exact"/>
        <w:jc w:val="center"/>
        <w:rPr>
          <w:b/>
          <w:sz w:val="44"/>
          <w:szCs w:val="44"/>
          <w:u w:val="single"/>
        </w:rPr>
      </w:pPr>
    </w:p>
    <w:p w14:paraId="1677BA33">
      <w:pPr>
        <w:spacing w:line="540" w:lineRule="exact"/>
        <w:rPr>
          <w:rFonts w:ascii="黑体" w:eastAsia="黑体"/>
          <w:sz w:val="32"/>
          <w:szCs w:val="32"/>
        </w:rPr>
      </w:pPr>
    </w:p>
    <w:p w14:paraId="6431D7BB">
      <w:pPr>
        <w:spacing w:line="540" w:lineRule="exact"/>
        <w:jc w:val="center"/>
        <w:rPr>
          <w:rFonts w:ascii="宋体" w:hAnsi="宋体"/>
          <w:b/>
          <w:sz w:val="36"/>
          <w:szCs w:val="36"/>
        </w:rPr>
      </w:pPr>
      <w:r>
        <w:rPr>
          <w:rFonts w:hint="eastAsia" w:ascii="宋体" w:hAnsi="宋体"/>
          <w:b/>
          <w:sz w:val="36"/>
          <w:szCs w:val="36"/>
        </w:rPr>
        <w:t>第一部分 本溪市南芬区司法局概况</w:t>
      </w:r>
    </w:p>
    <w:p w14:paraId="6397EEC2">
      <w:pPr>
        <w:spacing w:line="540" w:lineRule="exact"/>
        <w:ind w:firstLine="640" w:firstLineChars="200"/>
        <w:jc w:val="left"/>
        <w:rPr>
          <w:rFonts w:ascii="黑体" w:eastAsia="黑体"/>
          <w:sz w:val="32"/>
          <w:szCs w:val="32"/>
          <w:highlight w:val="red"/>
        </w:rPr>
      </w:pPr>
    </w:p>
    <w:p w14:paraId="489B5A54">
      <w:pPr>
        <w:spacing w:line="540" w:lineRule="exact"/>
        <w:ind w:firstLine="640" w:firstLineChars="200"/>
        <w:jc w:val="left"/>
        <w:rPr>
          <w:rFonts w:ascii="黑体" w:eastAsia="黑体"/>
          <w:sz w:val="32"/>
          <w:szCs w:val="32"/>
        </w:rPr>
      </w:pPr>
      <w:r>
        <w:rPr>
          <w:rFonts w:hint="eastAsia" w:ascii="黑体" w:eastAsia="黑体"/>
          <w:sz w:val="32"/>
          <w:szCs w:val="32"/>
        </w:rPr>
        <w:t>一、主要职责</w:t>
      </w:r>
    </w:p>
    <w:p w14:paraId="17321B27">
      <w:pPr>
        <w:spacing w:line="560" w:lineRule="exact"/>
        <w:ind w:firstLine="640" w:firstLineChars="200"/>
        <w:rPr>
          <w:rFonts w:eastAsia="仿宋_GB2312"/>
          <w:sz w:val="32"/>
          <w:szCs w:val="32"/>
        </w:rPr>
      </w:pPr>
      <w:r>
        <w:rPr>
          <w:rFonts w:eastAsia="仿宋_GB2312"/>
          <w:sz w:val="32"/>
          <w:szCs w:val="32"/>
        </w:rPr>
        <w:t>（一）</w:t>
      </w:r>
      <w:r>
        <w:rPr>
          <w:rFonts w:hint="eastAsia" w:eastAsia="仿宋_GB2312"/>
          <w:sz w:val="32"/>
          <w:szCs w:val="32"/>
        </w:rPr>
        <w:t>全面承担全区法制建设重大问题的研究，协调有关方面提出全区法制建设中长期规划建议，负责有关重大决策部署督察工作。</w:t>
      </w:r>
    </w:p>
    <w:p w14:paraId="4E41C214">
      <w:pPr>
        <w:spacing w:line="560" w:lineRule="exact"/>
        <w:ind w:firstLine="645"/>
        <w:rPr>
          <w:rFonts w:eastAsia="仿宋_GB2312"/>
          <w:sz w:val="32"/>
          <w:szCs w:val="32"/>
        </w:rPr>
      </w:pPr>
      <w:r>
        <w:rPr>
          <w:rFonts w:eastAsia="仿宋_GB2312"/>
          <w:sz w:val="32"/>
          <w:szCs w:val="32"/>
        </w:rPr>
        <w:t>（二）</w:t>
      </w:r>
      <w:r>
        <w:rPr>
          <w:rFonts w:hint="eastAsia" w:eastAsia="仿宋_GB2312"/>
          <w:sz w:val="32"/>
          <w:szCs w:val="32"/>
        </w:rPr>
        <w:t>负责统筹规划立法的职责。协调有关方面提出立法规划和年度立法工作计划的建议，负责跟踪了解各部门对立法工作计划的落实情况，报区政府批准后组织实施并督促指导，加强组织协调和督促指导，研究提出立法与改革决策相衔接的意见、措施。负责面向社会征集地方性法规和政府规章制度项目建议。</w:t>
      </w:r>
    </w:p>
    <w:p w14:paraId="7D4FDB59">
      <w:pPr>
        <w:spacing w:line="560" w:lineRule="exact"/>
        <w:ind w:firstLine="645"/>
        <w:rPr>
          <w:rFonts w:eastAsia="仿宋_GB2312"/>
          <w:sz w:val="32"/>
          <w:szCs w:val="32"/>
        </w:rPr>
      </w:pPr>
      <w:r>
        <w:rPr>
          <w:rFonts w:eastAsia="仿宋_GB2312"/>
          <w:sz w:val="32"/>
          <w:szCs w:val="32"/>
        </w:rPr>
        <w:t>（三）</w:t>
      </w:r>
      <w:r>
        <w:rPr>
          <w:rFonts w:hint="eastAsia" w:eastAsia="仿宋_GB2312"/>
          <w:sz w:val="32"/>
          <w:szCs w:val="32"/>
        </w:rPr>
        <w:t>负责立法协调工作，负责区政府、区政府办公室发布的规范性文件合法性审查。</w:t>
      </w:r>
    </w:p>
    <w:p w14:paraId="35CA5DA4">
      <w:pPr>
        <w:spacing w:line="560" w:lineRule="exact"/>
        <w:ind w:firstLine="627" w:firstLineChars="196"/>
        <w:rPr>
          <w:rFonts w:eastAsia="仿宋_GB2312"/>
          <w:sz w:val="32"/>
          <w:szCs w:val="32"/>
        </w:rPr>
      </w:pPr>
      <w:r>
        <w:rPr>
          <w:rFonts w:eastAsia="仿宋_GB2312"/>
          <w:sz w:val="32"/>
          <w:szCs w:val="32"/>
        </w:rPr>
        <w:t>（四）</w:t>
      </w:r>
      <w:r>
        <w:rPr>
          <w:rFonts w:hint="eastAsia" w:eastAsia="仿宋_GB2312"/>
          <w:sz w:val="32"/>
          <w:szCs w:val="32"/>
        </w:rPr>
        <w:t>承办区政府规章的解释工作、承办有关地方性法规和区政府规章实施后的评估工作，负责协调乡镇（街道）、区直部门实施地方性法规和区政府规章中有关争议和问题。负责区政府规章以及各乡镇（街道）和区直部门规范性文件的清理工作。</w:t>
      </w:r>
    </w:p>
    <w:p w14:paraId="26D75B90">
      <w:pPr>
        <w:spacing w:line="560" w:lineRule="exact"/>
        <w:ind w:firstLine="627" w:firstLineChars="196"/>
        <w:rPr>
          <w:rFonts w:eastAsia="仿宋_GB2312"/>
          <w:sz w:val="32"/>
          <w:szCs w:val="32"/>
        </w:rPr>
      </w:pPr>
      <w:r>
        <w:rPr>
          <w:rFonts w:eastAsia="仿宋_GB2312"/>
          <w:sz w:val="32"/>
          <w:szCs w:val="32"/>
        </w:rPr>
        <w:t>（五）</w:t>
      </w:r>
      <w:r>
        <w:rPr>
          <w:rFonts w:hint="eastAsia" w:eastAsia="仿宋_GB2312"/>
          <w:sz w:val="32"/>
          <w:szCs w:val="32"/>
        </w:rPr>
        <w:t>承担统筹推进法治政府建设的责任。指导、监督区政府各部门、乡镇（街道）依法行政工作，负责综合协调行政执法，承担推进行政执法体制改革有关工作，推进严格规范公正文明执法，负责规范行政执法程序、行政执法行为和行政裁量权，审核区直部门行政执法主体和行政执法人员资格，指导、监督各乡镇（街道）、区直各部门行政执法工作。</w:t>
      </w:r>
    </w:p>
    <w:p w14:paraId="03574F35">
      <w:pPr>
        <w:spacing w:line="560" w:lineRule="exact"/>
        <w:ind w:firstLine="627" w:firstLineChars="196"/>
        <w:rPr>
          <w:rFonts w:eastAsia="仿宋_GB2312"/>
          <w:sz w:val="32"/>
          <w:szCs w:val="32"/>
        </w:rPr>
      </w:pPr>
      <w:r>
        <w:rPr>
          <w:rFonts w:eastAsia="仿宋_GB2312"/>
          <w:sz w:val="32"/>
          <w:szCs w:val="32"/>
        </w:rPr>
        <w:t>（六）</w:t>
      </w:r>
      <w:r>
        <w:rPr>
          <w:rFonts w:hint="eastAsia" w:eastAsia="仿宋_GB2312"/>
          <w:sz w:val="32"/>
          <w:szCs w:val="32"/>
        </w:rPr>
        <w:t>承办向区政府申请的行政复议案件工作，负责行政应诉案件办理工作，指导、监督各乡镇（街道）行政复议和行政应诉工作。</w:t>
      </w:r>
    </w:p>
    <w:p w14:paraId="017D5C8E">
      <w:pPr>
        <w:spacing w:line="560" w:lineRule="exact"/>
        <w:ind w:firstLine="627" w:firstLineChars="196"/>
        <w:rPr>
          <w:rFonts w:eastAsia="仿宋_GB2312"/>
          <w:sz w:val="32"/>
          <w:szCs w:val="32"/>
        </w:rPr>
      </w:pPr>
      <w:r>
        <w:rPr>
          <w:rFonts w:hint="eastAsia" w:eastAsia="仿宋_GB2312"/>
          <w:sz w:val="32"/>
          <w:szCs w:val="32"/>
        </w:rPr>
        <w:t>（七）承担统筹规划法治社会建设的责任，按照中央的统一部署拟订法治宣传教育实施规划，组织实施全民普法工作，推动人民参与和促进法治建设，指导依法治理和法治创建工作，指导调解工作和人民陪审员、人民监督员选任管理工作，推进司法所建设。</w:t>
      </w:r>
    </w:p>
    <w:p w14:paraId="3679D946">
      <w:pPr>
        <w:spacing w:line="560" w:lineRule="exact"/>
        <w:ind w:firstLine="645"/>
        <w:rPr>
          <w:rFonts w:eastAsia="仿宋_GB2312"/>
          <w:sz w:val="32"/>
          <w:szCs w:val="32"/>
        </w:rPr>
      </w:pPr>
      <w:r>
        <w:rPr>
          <w:rFonts w:eastAsia="仿宋_GB2312"/>
          <w:sz w:val="32"/>
          <w:szCs w:val="32"/>
        </w:rPr>
        <w:t>（八）</w:t>
      </w:r>
      <w:r>
        <w:rPr>
          <w:rFonts w:hint="eastAsia" w:eastAsia="仿宋_GB2312"/>
          <w:sz w:val="32"/>
          <w:szCs w:val="32"/>
        </w:rPr>
        <w:t>指导、管理社区矫正工作。指导刑满释放人员帮教安置工作。</w:t>
      </w:r>
    </w:p>
    <w:p w14:paraId="2C35DD18">
      <w:pPr>
        <w:spacing w:line="560" w:lineRule="exact"/>
        <w:ind w:firstLine="645"/>
        <w:rPr>
          <w:rFonts w:eastAsia="仿宋_GB2312"/>
          <w:sz w:val="32"/>
          <w:szCs w:val="32"/>
        </w:rPr>
      </w:pPr>
      <w:r>
        <w:rPr>
          <w:rFonts w:eastAsia="仿宋_GB2312"/>
          <w:sz w:val="32"/>
          <w:szCs w:val="32"/>
        </w:rPr>
        <w:t>（十）</w:t>
      </w:r>
      <w:r>
        <w:rPr>
          <w:rFonts w:hint="eastAsia" w:eastAsia="仿宋_GB2312"/>
          <w:sz w:val="32"/>
          <w:szCs w:val="32"/>
        </w:rPr>
        <w:t>负责拟订公共法律服务体系建设具体规划并组织实施，统筹和布局城乡、区域法律服务资源，指导、监督公共法律服务中心建设，指导、监督律师、法律援助、公证和基层法律服务管理工作，按照国家统一部署，开展涉外法律服务工作。</w:t>
      </w:r>
    </w:p>
    <w:p w14:paraId="3AD447AF">
      <w:pPr>
        <w:spacing w:line="560" w:lineRule="exact"/>
        <w:ind w:firstLine="645"/>
        <w:rPr>
          <w:rFonts w:eastAsia="仿宋_GB2312"/>
          <w:sz w:val="32"/>
          <w:szCs w:val="32"/>
        </w:rPr>
      </w:pPr>
      <w:r>
        <w:rPr>
          <w:rFonts w:hint="eastAsia" w:eastAsia="仿宋_GB2312"/>
          <w:sz w:val="32"/>
          <w:szCs w:val="32"/>
        </w:rPr>
        <w:t>（十二）负责区政府法律顾问工作，对区政府作出的重大行政决策提出法律意见，代理区政府行政诉讼和以区政府作为民事主体的相关法律事务，负责区政府法律事务咨询等工作，联系、协调仲裁机构。组织开展法治政府建设理论研究和宣传工作，协助落实区政府领导干部学法制度。</w:t>
      </w:r>
    </w:p>
    <w:p w14:paraId="053829A4">
      <w:pPr>
        <w:spacing w:line="560" w:lineRule="exact"/>
        <w:ind w:firstLine="645"/>
        <w:rPr>
          <w:rFonts w:eastAsia="仿宋_GB2312"/>
          <w:sz w:val="32"/>
          <w:szCs w:val="32"/>
        </w:rPr>
      </w:pPr>
      <w:r>
        <w:rPr>
          <w:rFonts w:eastAsia="仿宋_GB2312"/>
          <w:sz w:val="32"/>
          <w:szCs w:val="32"/>
        </w:rPr>
        <w:t>（十</w:t>
      </w:r>
      <w:r>
        <w:rPr>
          <w:rFonts w:hint="eastAsia" w:eastAsia="仿宋_GB2312"/>
          <w:sz w:val="32"/>
          <w:szCs w:val="32"/>
        </w:rPr>
        <w:t>三</w:t>
      </w:r>
      <w:r>
        <w:rPr>
          <w:rFonts w:eastAsia="仿宋_GB2312"/>
          <w:sz w:val="32"/>
          <w:szCs w:val="32"/>
        </w:rPr>
        <w:t>）</w:t>
      </w:r>
      <w:r>
        <w:rPr>
          <w:rFonts w:hint="eastAsia" w:eastAsia="仿宋_GB2312"/>
          <w:sz w:val="32"/>
          <w:szCs w:val="32"/>
        </w:rPr>
        <w:t>负责本系统服装和警车管理工作，指导、监督本系统财务、装备、设施、场所等保障工作。</w:t>
      </w:r>
    </w:p>
    <w:p w14:paraId="750807D3">
      <w:pPr>
        <w:spacing w:line="560" w:lineRule="exact"/>
        <w:ind w:firstLine="645"/>
        <w:rPr>
          <w:rFonts w:eastAsia="仿宋_GB2312"/>
          <w:sz w:val="32"/>
          <w:szCs w:val="32"/>
        </w:rPr>
      </w:pPr>
      <w:r>
        <w:rPr>
          <w:rFonts w:eastAsia="仿宋_GB2312"/>
          <w:sz w:val="32"/>
          <w:szCs w:val="32"/>
        </w:rPr>
        <w:t>（十</w:t>
      </w:r>
      <w:r>
        <w:rPr>
          <w:rFonts w:hint="eastAsia" w:eastAsia="仿宋_GB2312"/>
          <w:sz w:val="32"/>
          <w:szCs w:val="32"/>
        </w:rPr>
        <w:t>四</w:t>
      </w:r>
      <w:r>
        <w:rPr>
          <w:rFonts w:eastAsia="仿宋_GB2312"/>
          <w:sz w:val="32"/>
          <w:szCs w:val="32"/>
        </w:rPr>
        <w:t>）</w:t>
      </w:r>
      <w:r>
        <w:rPr>
          <w:rFonts w:hint="eastAsia" w:eastAsia="仿宋_GB2312"/>
          <w:sz w:val="32"/>
          <w:szCs w:val="32"/>
        </w:rPr>
        <w:t>组织实施司法行政系统政治机关建设工作。规划、协调、指导法治人才队伍建设相关工作，指导、监督本系统队伍建设。负责本系统警务管理和警务督察工作。</w:t>
      </w:r>
    </w:p>
    <w:p w14:paraId="5FDEE81D">
      <w:pPr>
        <w:spacing w:line="560" w:lineRule="exact"/>
        <w:ind w:firstLine="627" w:firstLineChars="196"/>
        <w:rPr>
          <w:rFonts w:eastAsia="仿宋_GB2312"/>
          <w:sz w:val="32"/>
          <w:szCs w:val="32"/>
        </w:rPr>
      </w:pPr>
      <w:r>
        <w:rPr>
          <w:rFonts w:eastAsia="仿宋_GB2312"/>
          <w:sz w:val="32"/>
          <w:szCs w:val="32"/>
        </w:rPr>
        <w:t>（十</w:t>
      </w:r>
      <w:r>
        <w:rPr>
          <w:rFonts w:hint="eastAsia" w:eastAsia="仿宋_GB2312"/>
          <w:sz w:val="32"/>
          <w:szCs w:val="32"/>
        </w:rPr>
        <w:t>五</w:t>
      </w:r>
      <w:r>
        <w:rPr>
          <w:rFonts w:eastAsia="仿宋_GB2312"/>
          <w:sz w:val="32"/>
          <w:szCs w:val="32"/>
        </w:rPr>
        <w:t>）</w:t>
      </w:r>
      <w:r>
        <w:rPr>
          <w:rFonts w:hint="eastAsia" w:eastAsia="仿宋_GB2312"/>
          <w:sz w:val="32"/>
          <w:szCs w:val="32"/>
        </w:rPr>
        <w:t>完成区委、区政府交办的其他任务。</w:t>
      </w:r>
    </w:p>
    <w:p w14:paraId="5416FD90">
      <w:pPr>
        <w:spacing w:line="540" w:lineRule="exact"/>
        <w:ind w:firstLine="640" w:firstLineChars="200"/>
        <w:jc w:val="left"/>
        <w:rPr>
          <w:rFonts w:ascii="黑体" w:eastAsia="黑体"/>
          <w:sz w:val="32"/>
          <w:szCs w:val="32"/>
        </w:rPr>
      </w:pPr>
      <w:r>
        <w:rPr>
          <w:rFonts w:hint="eastAsia" w:ascii="黑体" w:eastAsia="黑体"/>
          <w:sz w:val="32"/>
          <w:szCs w:val="32"/>
        </w:rPr>
        <w:t>二、部门决算单位构成</w:t>
      </w:r>
    </w:p>
    <w:p w14:paraId="33522AC6">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纳入本溪市南芬区司法局2021年部门决算编制范围的预算单位包括：</w:t>
      </w:r>
    </w:p>
    <w:p w14:paraId="44AF4560">
      <w:pPr>
        <w:ind w:firstLine="640" w:firstLineChars="200"/>
        <w:jc w:val="left"/>
        <w:rPr>
          <w:rFonts w:ascii="仿宋_GB2312" w:eastAsia="仿宋_GB2312"/>
          <w:sz w:val="32"/>
          <w:szCs w:val="32"/>
        </w:rPr>
      </w:pPr>
      <w:r>
        <w:rPr>
          <w:rFonts w:hint="eastAsia" w:ascii="仿宋_GB2312" w:eastAsia="仿宋_GB2312"/>
          <w:sz w:val="32"/>
          <w:szCs w:val="32"/>
        </w:rPr>
        <w:t>1.本溪市南芬区司法局(本级)</w:t>
      </w:r>
    </w:p>
    <w:p w14:paraId="64353B13">
      <w:pPr>
        <w:spacing w:line="540" w:lineRule="exact"/>
        <w:jc w:val="center"/>
        <w:rPr>
          <w:rFonts w:ascii="宋体" w:hAnsi="宋体"/>
          <w:b/>
          <w:sz w:val="36"/>
          <w:szCs w:val="36"/>
        </w:rPr>
      </w:pPr>
      <w:r>
        <w:rPr>
          <w:rFonts w:hint="eastAsia" w:ascii="宋体" w:hAnsi="宋体"/>
          <w:b/>
          <w:sz w:val="36"/>
          <w:szCs w:val="36"/>
        </w:rPr>
        <w:t>第二部分 本溪市南芬区司法局2021年度部门决算</w:t>
      </w:r>
      <w:r>
        <w:rPr>
          <w:rFonts w:hint="eastAsia" w:ascii="宋体" w:hAnsi="宋体"/>
          <w:b/>
          <w:sz w:val="36"/>
          <w:szCs w:val="36"/>
        </w:rPr>
        <w:br w:type="textWrapping"/>
      </w:r>
      <w:r>
        <w:rPr>
          <w:rFonts w:hint="eastAsia" w:ascii="宋体" w:hAnsi="宋体"/>
          <w:b/>
          <w:sz w:val="36"/>
          <w:szCs w:val="36"/>
        </w:rPr>
        <w:t>公开报表</w:t>
      </w:r>
    </w:p>
    <w:p w14:paraId="6C3DA48B">
      <w:pPr>
        <w:spacing w:line="540" w:lineRule="exact"/>
        <w:ind w:firstLine="640" w:firstLineChars="200"/>
        <w:rPr>
          <w:rFonts w:hint="eastAsia" w:ascii="仿宋" w:hAnsi="仿宋" w:cs="仿宋"/>
          <w:bCs/>
          <w:sz w:val="32"/>
          <w:szCs w:val="32"/>
        </w:rPr>
      </w:pPr>
      <w:r>
        <w:rPr>
          <w:rFonts w:hint="eastAsia" w:ascii="仿宋" w:hAnsi="仿宋" w:eastAsia="仿宋" w:cs="仿宋"/>
          <w:bCs/>
          <w:sz w:val="32"/>
          <w:szCs w:val="32"/>
        </w:rPr>
        <w:t>详见：附件1.报表公开材料。</w:t>
      </w:r>
    </w:p>
    <w:p w14:paraId="786BA5CE">
      <w:pPr>
        <w:spacing w:line="540" w:lineRule="exact"/>
        <w:jc w:val="center"/>
        <w:rPr>
          <w:rFonts w:ascii="宋体" w:hAnsi="宋体"/>
          <w:b/>
          <w:sz w:val="36"/>
          <w:szCs w:val="36"/>
        </w:rPr>
      </w:pPr>
      <w:r>
        <w:rPr>
          <w:rFonts w:hint="eastAsia" w:ascii="宋体" w:hAnsi="宋体"/>
          <w:b/>
          <w:sz w:val="36"/>
          <w:szCs w:val="36"/>
        </w:rPr>
        <w:t>第三部分 本溪市南芬区司法局2021年度部门决算</w:t>
      </w:r>
      <w:r>
        <w:rPr>
          <w:rFonts w:hint="eastAsia" w:ascii="宋体" w:hAnsi="宋体"/>
          <w:b/>
          <w:sz w:val="36"/>
          <w:szCs w:val="36"/>
        </w:rPr>
        <w:br w:type="textWrapping"/>
      </w:r>
      <w:r>
        <w:rPr>
          <w:rFonts w:hint="eastAsia" w:ascii="宋体" w:hAnsi="宋体"/>
          <w:b/>
          <w:sz w:val="36"/>
          <w:szCs w:val="36"/>
        </w:rPr>
        <w:t>情况说明</w:t>
      </w:r>
    </w:p>
    <w:p w14:paraId="3F4E85A8">
      <w:pPr>
        <w:spacing w:line="540" w:lineRule="exact"/>
        <w:ind w:firstLine="627" w:firstLineChars="196"/>
        <w:rPr>
          <w:rFonts w:ascii="黑体" w:hAnsi="黑体" w:eastAsia="黑体"/>
          <w:sz w:val="32"/>
          <w:szCs w:val="32"/>
        </w:rPr>
      </w:pPr>
      <w:r>
        <w:rPr>
          <w:rFonts w:hint="eastAsia" w:ascii="黑体" w:hAnsi="黑体" w:eastAsia="黑体"/>
          <w:sz w:val="32"/>
          <w:szCs w:val="32"/>
        </w:rPr>
        <w:t>一、收入支出决算总体情况</w:t>
      </w:r>
    </w:p>
    <w:p w14:paraId="781A241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（一）收入总计377.39万元，包括：</w:t>
      </w:r>
    </w:p>
    <w:p w14:paraId="484726E7">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1.财政拨款收入377.39万元，其中：一般公共预算财政拨款收入377.39万元，政府性基金收入0万元，国有资本经营预算财政拨款0万元。</w:t>
      </w:r>
    </w:p>
    <w:p w14:paraId="630596AA">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2.上级补助收入0万元，主要是</w:t>
      </w:r>
      <w:r>
        <w:rPr>
          <w:rFonts w:ascii="仿宋_GB2312" w:hAnsi="宋体" w:eastAsia="仿宋_GB2312"/>
          <w:sz w:val="32"/>
          <w:szCs w:val="32"/>
        </w:rPr>
        <w:t>XX</w:t>
      </w:r>
      <w:r>
        <w:rPr>
          <w:rFonts w:hint="eastAsia" w:ascii="仿宋_GB2312" w:hAnsi="宋体" w:eastAsia="仿宋_GB2312"/>
          <w:sz w:val="32"/>
          <w:szCs w:val="32"/>
        </w:rPr>
        <w:t>等收入。</w:t>
      </w:r>
    </w:p>
    <w:p w14:paraId="422B223D">
      <w:pPr>
        <w:spacing w:line="540" w:lineRule="exact"/>
        <w:ind w:firstLine="660"/>
        <w:rPr>
          <w:rFonts w:ascii="仿宋_GB2312" w:hAnsi="宋体" w:eastAsia="仿宋_GB2312"/>
          <w:sz w:val="32"/>
          <w:szCs w:val="32"/>
        </w:rPr>
      </w:pPr>
      <w:r>
        <w:rPr>
          <w:rFonts w:hint="eastAsia" w:ascii="仿宋_GB2312" w:hAnsi="宋体" w:eastAsia="仿宋_GB2312"/>
          <w:sz w:val="32"/>
          <w:szCs w:val="32"/>
        </w:rPr>
        <w:t>3.事业收入0万元，主要是</w:t>
      </w:r>
      <w:r>
        <w:rPr>
          <w:rFonts w:ascii="仿宋_GB2312" w:hAnsi="宋体" w:eastAsia="仿宋_GB2312"/>
          <w:sz w:val="32"/>
          <w:szCs w:val="32"/>
        </w:rPr>
        <w:t>XX</w:t>
      </w:r>
      <w:r>
        <w:rPr>
          <w:rFonts w:hint="eastAsia" w:ascii="仿宋_GB2312" w:hAnsi="宋体" w:eastAsia="仿宋_GB2312"/>
          <w:sz w:val="32"/>
          <w:szCs w:val="32"/>
        </w:rPr>
        <w:t>等收入。</w:t>
      </w:r>
    </w:p>
    <w:p w14:paraId="0809F8F5">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4.经营收入0万元，主要是</w:t>
      </w:r>
      <w:r>
        <w:rPr>
          <w:rFonts w:ascii="仿宋_GB2312" w:hAnsi="宋体" w:eastAsia="仿宋_GB2312"/>
          <w:sz w:val="32"/>
          <w:szCs w:val="32"/>
        </w:rPr>
        <w:t>XX</w:t>
      </w:r>
      <w:r>
        <w:rPr>
          <w:rFonts w:hint="eastAsia" w:ascii="仿宋_GB2312" w:hAnsi="宋体" w:eastAsia="仿宋_GB2312"/>
          <w:sz w:val="32"/>
          <w:szCs w:val="32"/>
        </w:rPr>
        <w:t>等收入。</w:t>
      </w:r>
    </w:p>
    <w:p w14:paraId="6F31B85C">
      <w:pPr>
        <w:spacing w:line="540" w:lineRule="exact"/>
        <w:ind w:firstLine="660"/>
        <w:rPr>
          <w:rFonts w:ascii="仿宋_GB2312" w:hAnsi="宋体" w:eastAsia="仿宋_GB2312"/>
          <w:sz w:val="32"/>
          <w:szCs w:val="32"/>
        </w:rPr>
      </w:pPr>
      <w:r>
        <w:rPr>
          <w:rFonts w:hint="eastAsia" w:ascii="仿宋_GB2312" w:hAnsi="宋体" w:eastAsia="仿宋_GB2312"/>
          <w:sz w:val="32"/>
          <w:szCs w:val="32"/>
        </w:rPr>
        <w:t>5.附属单位上缴收入0万元，主要是</w:t>
      </w:r>
      <w:r>
        <w:rPr>
          <w:rFonts w:ascii="仿宋_GB2312" w:hAnsi="宋体" w:eastAsia="仿宋_GB2312"/>
          <w:sz w:val="32"/>
          <w:szCs w:val="32"/>
        </w:rPr>
        <w:t>XX</w:t>
      </w:r>
      <w:r>
        <w:rPr>
          <w:rFonts w:hint="eastAsia" w:ascii="仿宋_GB2312" w:hAnsi="宋体" w:eastAsia="仿宋_GB2312"/>
          <w:sz w:val="32"/>
          <w:szCs w:val="32"/>
        </w:rPr>
        <w:t>等收入。</w:t>
      </w:r>
    </w:p>
    <w:p w14:paraId="2EFD63BC">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6.其他收入0万元，主要是</w:t>
      </w:r>
      <w:r>
        <w:rPr>
          <w:rFonts w:ascii="仿宋_GB2312" w:hAnsi="宋体" w:eastAsia="仿宋_GB2312"/>
          <w:sz w:val="32"/>
          <w:szCs w:val="32"/>
        </w:rPr>
        <w:t>XX</w:t>
      </w:r>
      <w:r>
        <w:rPr>
          <w:rFonts w:hint="eastAsia" w:ascii="仿宋_GB2312" w:hAnsi="宋体" w:eastAsia="仿宋_GB2312"/>
          <w:sz w:val="32"/>
          <w:szCs w:val="32"/>
        </w:rPr>
        <w:t>等收入。</w:t>
      </w:r>
    </w:p>
    <w:p w14:paraId="3CE37CBE">
      <w:pPr>
        <w:spacing w:line="540" w:lineRule="exact"/>
        <w:ind w:firstLine="660"/>
        <w:rPr>
          <w:rFonts w:ascii="仿宋_GB2312" w:hAnsi="宋体" w:eastAsia="仿宋_GB2312"/>
          <w:sz w:val="32"/>
          <w:szCs w:val="32"/>
        </w:rPr>
      </w:pPr>
      <w:r>
        <w:rPr>
          <w:rFonts w:hint="eastAsia" w:ascii="仿宋_GB2312" w:hAnsi="宋体" w:eastAsia="仿宋_GB2312"/>
          <w:sz w:val="32"/>
          <w:szCs w:val="32"/>
        </w:rPr>
        <w:t>7.使用非财政拨款结余0万元，主要是</w:t>
      </w:r>
      <w:r>
        <w:rPr>
          <w:rFonts w:ascii="仿宋_GB2312" w:hAnsi="宋体" w:eastAsia="仿宋_GB2312"/>
          <w:sz w:val="32"/>
          <w:szCs w:val="32"/>
        </w:rPr>
        <w:t>XX</w:t>
      </w:r>
      <w:r>
        <w:rPr>
          <w:rFonts w:hint="eastAsia" w:ascii="仿宋_GB2312" w:hAnsi="宋体" w:eastAsia="仿宋_GB2312"/>
          <w:sz w:val="32"/>
          <w:szCs w:val="32"/>
        </w:rPr>
        <w:t>等。</w:t>
      </w:r>
    </w:p>
    <w:p w14:paraId="701C544A">
      <w:pPr>
        <w:spacing w:line="540" w:lineRule="exact"/>
        <w:ind w:firstLine="660"/>
        <w:rPr>
          <w:rFonts w:ascii="仿宋_GB2312" w:hAnsi="宋体" w:eastAsia="仿宋_GB2312"/>
          <w:sz w:val="32"/>
          <w:szCs w:val="32"/>
        </w:rPr>
      </w:pPr>
      <w:r>
        <w:rPr>
          <w:rFonts w:hint="eastAsia" w:ascii="仿宋_GB2312" w:hAnsi="宋体" w:eastAsia="仿宋_GB2312"/>
          <w:sz w:val="32"/>
          <w:szCs w:val="32"/>
        </w:rPr>
        <w:t>8.年初结转和结余13.15万元，主要是项目经费等。</w:t>
      </w:r>
    </w:p>
    <w:p w14:paraId="1A2E6156">
      <w:pPr>
        <w:spacing w:line="540" w:lineRule="exact"/>
        <w:ind w:firstLine="660"/>
        <w:rPr>
          <w:rFonts w:ascii="仿宋_GB2312" w:hAnsi="宋体" w:eastAsia="仿宋_GB2312"/>
          <w:sz w:val="32"/>
          <w:szCs w:val="32"/>
        </w:rPr>
      </w:pPr>
      <w:r>
        <w:rPr>
          <w:rFonts w:hint="eastAsia" w:ascii="仿宋_GB2312" w:hAnsi="宋体" w:eastAsia="仿宋_GB2312"/>
          <w:sz w:val="32"/>
          <w:szCs w:val="32"/>
        </w:rPr>
        <w:t>与上年相比，今年收入增加79.32万元，增加26.61%，主要原因：一是工资调标增加，人员工资增加；二是有退休人员去逝，抚恤金增加；三是政法专项经费增加。</w:t>
      </w:r>
    </w:p>
    <w:p w14:paraId="1169567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（二）支出总计390.54万元，包括：</w:t>
      </w:r>
    </w:p>
    <w:p w14:paraId="5289449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1.基本支出333.99万元，主要是为保障机构正常运转、完成日常工作任务而发生的各项支出，其中：工资福利支出286.79万元，对个人和家庭的补助支出22.63万元，商品和服务支出24.57万元。</w:t>
      </w:r>
    </w:p>
    <w:p w14:paraId="1F71F13F">
      <w:pPr>
        <w:spacing w:line="540" w:lineRule="exact"/>
        <w:ind w:firstLine="660"/>
        <w:rPr>
          <w:rFonts w:ascii="仿宋_GB2312" w:hAnsi="宋体" w:eastAsia="仿宋_GB2312"/>
          <w:sz w:val="32"/>
          <w:szCs w:val="32"/>
        </w:rPr>
      </w:pPr>
      <w:r>
        <w:rPr>
          <w:rFonts w:hint="eastAsia" w:ascii="仿宋_GB2312" w:hAnsi="宋体" w:eastAsia="仿宋_GB2312"/>
          <w:sz w:val="32"/>
          <w:szCs w:val="32"/>
        </w:rPr>
        <w:t>2.项目支出56.55万元，主要包括基层司法业务、社区矫正、普法宣传等业务支出。</w:t>
      </w:r>
    </w:p>
    <w:p w14:paraId="0D31E732">
      <w:pPr>
        <w:spacing w:line="540" w:lineRule="exact"/>
        <w:ind w:firstLine="660"/>
        <w:rPr>
          <w:rFonts w:ascii="仿宋_GB2312" w:hAnsi="宋体" w:eastAsia="仿宋_GB2312"/>
          <w:sz w:val="32"/>
          <w:szCs w:val="32"/>
        </w:rPr>
      </w:pPr>
      <w:r>
        <w:rPr>
          <w:rFonts w:hint="eastAsia" w:ascii="仿宋_GB2312" w:hAnsi="宋体" w:eastAsia="仿宋_GB2312"/>
          <w:sz w:val="32"/>
          <w:szCs w:val="32"/>
        </w:rPr>
        <w:t>3.上缴上级支出0万元，主要包括</w:t>
      </w:r>
      <w:r>
        <w:rPr>
          <w:rFonts w:ascii="仿宋_GB2312" w:hAnsi="宋体" w:eastAsia="仿宋_GB2312"/>
          <w:sz w:val="32"/>
          <w:szCs w:val="32"/>
        </w:rPr>
        <w:t>XX</w:t>
      </w:r>
      <w:r>
        <w:rPr>
          <w:rFonts w:hint="eastAsia" w:ascii="仿宋_GB2312" w:hAnsi="宋体" w:eastAsia="仿宋_GB2312"/>
          <w:sz w:val="32"/>
          <w:szCs w:val="32"/>
        </w:rPr>
        <w:t>等业务支出。</w:t>
      </w:r>
    </w:p>
    <w:p w14:paraId="3E7E0EC6">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4.经营支出0万元，主要包括</w:t>
      </w:r>
      <w:r>
        <w:rPr>
          <w:rFonts w:ascii="仿宋_GB2312" w:hAnsi="宋体" w:eastAsia="仿宋_GB2312"/>
          <w:sz w:val="32"/>
          <w:szCs w:val="32"/>
        </w:rPr>
        <w:t>XX</w:t>
      </w:r>
      <w:r>
        <w:rPr>
          <w:rFonts w:hint="eastAsia" w:ascii="仿宋_GB2312" w:hAnsi="宋体" w:eastAsia="仿宋_GB2312"/>
          <w:sz w:val="32"/>
          <w:szCs w:val="32"/>
        </w:rPr>
        <w:t>等业务支出。</w:t>
      </w:r>
    </w:p>
    <w:p w14:paraId="14F21F4B">
      <w:pPr>
        <w:spacing w:line="540" w:lineRule="exact"/>
        <w:ind w:firstLine="660"/>
        <w:rPr>
          <w:rFonts w:ascii="仿宋_GB2312" w:hAnsi="宋体" w:eastAsia="仿宋_GB2312"/>
          <w:sz w:val="32"/>
          <w:szCs w:val="32"/>
        </w:rPr>
      </w:pPr>
      <w:r>
        <w:rPr>
          <w:rFonts w:hint="eastAsia" w:ascii="仿宋_GB2312" w:hAnsi="宋体" w:eastAsia="仿宋_GB2312"/>
          <w:sz w:val="32"/>
          <w:szCs w:val="32"/>
        </w:rPr>
        <w:t>5.对附属单位补助支出0万元，主要包括</w:t>
      </w:r>
      <w:r>
        <w:rPr>
          <w:rFonts w:ascii="仿宋_GB2312" w:hAnsi="宋体" w:eastAsia="仿宋_GB2312"/>
          <w:sz w:val="32"/>
          <w:szCs w:val="32"/>
        </w:rPr>
        <w:t>XX</w:t>
      </w:r>
      <w:r>
        <w:rPr>
          <w:rFonts w:hint="eastAsia" w:ascii="仿宋_GB2312" w:hAnsi="宋体" w:eastAsia="仿宋_GB2312"/>
          <w:sz w:val="32"/>
          <w:szCs w:val="32"/>
        </w:rPr>
        <w:t>等业务支出。</w:t>
      </w:r>
    </w:p>
    <w:p w14:paraId="3BAFC1BE">
      <w:pPr>
        <w:spacing w:line="540" w:lineRule="exact"/>
        <w:ind w:firstLine="660"/>
        <w:rPr>
          <w:rFonts w:ascii="仿宋_GB2312" w:hAnsi="宋体" w:eastAsia="仿宋_GB2312"/>
          <w:sz w:val="32"/>
          <w:szCs w:val="32"/>
        </w:rPr>
      </w:pPr>
      <w:r>
        <w:rPr>
          <w:rFonts w:hint="eastAsia" w:ascii="仿宋_GB2312" w:hAnsi="宋体" w:eastAsia="仿宋_GB2312"/>
          <w:sz w:val="32"/>
          <w:szCs w:val="32"/>
        </w:rPr>
        <w:t>与上年相比，今年支出增加79.7万元，增加25.64%，主要原因：一是工资调标，人员工资增加；二是有退休人员去逝，抚恤金增；三是项目支出增加。</w:t>
      </w:r>
    </w:p>
    <w:p w14:paraId="703C334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（三）年末结转和结余0万元</w:t>
      </w:r>
    </w:p>
    <w:p w14:paraId="5EFC03FB">
      <w:pPr>
        <w:spacing w:line="540" w:lineRule="exact"/>
        <w:ind w:firstLine="660"/>
        <w:rPr>
          <w:rFonts w:ascii="仿宋_GB2312" w:hAnsi="宋体" w:eastAsia="仿宋_GB2312"/>
          <w:sz w:val="32"/>
          <w:szCs w:val="32"/>
        </w:rPr>
      </w:pPr>
      <w:r>
        <w:rPr>
          <w:rFonts w:hint="eastAsia" w:ascii="仿宋_GB2312" w:hAnsi="宋体" w:eastAsia="仿宋_GB2312"/>
          <w:sz w:val="32"/>
          <w:szCs w:val="32"/>
        </w:rPr>
        <w:t>2021年末结转和结余为0万元。与上年相比，今年结转结余减少31.62万元，降低100%，主要原因：</w:t>
      </w:r>
      <w:r>
        <w:rPr>
          <w:rFonts w:hint="eastAsia" w:ascii="黑体" w:hAnsi="宋体" w:eastAsia="黑体"/>
          <w:sz w:val="32"/>
          <w:szCs w:val="32"/>
        </w:rPr>
        <w:t>2021年9月财务实行预算一体化，以支定收，故年结转和结余为0万元</w:t>
      </w:r>
      <w:r>
        <w:rPr>
          <w:rFonts w:hint="eastAsia" w:ascii="仿宋_GB2312" w:hAnsi="宋体" w:eastAsia="仿宋_GB2312"/>
          <w:sz w:val="32"/>
          <w:szCs w:val="32"/>
        </w:rPr>
        <w:t>。</w:t>
      </w:r>
    </w:p>
    <w:p w14:paraId="6B1F55A8">
      <w:pPr>
        <w:spacing w:line="540" w:lineRule="exact"/>
        <w:ind w:firstLine="660"/>
        <w:rPr>
          <w:rFonts w:ascii="黑体" w:hAnsi="黑体" w:eastAsia="黑体"/>
          <w:sz w:val="32"/>
          <w:szCs w:val="32"/>
        </w:rPr>
      </w:pPr>
      <w:r>
        <w:rPr>
          <w:rFonts w:hint="eastAsia" w:ascii="黑体" w:hAnsi="黑体" w:eastAsia="黑体"/>
          <w:sz w:val="32"/>
          <w:szCs w:val="32"/>
        </w:rPr>
        <w:t>二、财政拨款支出决算情况</w:t>
      </w:r>
    </w:p>
    <w:p w14:paraId="794AF05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2DC6BC60">
      <w:pPr>
        <w:spacing w:line="540" w:lineRule="exact"/>
        <w:ind w:firstLine="660"/>
        <w:rPr>
          <w:rFonts w:ascii="仿宋_GB2312" w:hAnsi="宋体" w:eastAsia="仿宋_GB2312"/>
          <w:sz w:val="32"/>
          <w:szCs w:val="32"/>
        </w:rPr>
      </w:pPr>
      <w:r>
        <w:rPr>
          <w:rFonts w:hint="eastAsia" w:ascii="仿宋_GB2312" w:hAnsi="宋体" w:eastAsia="仿宋_GB2312"/>
          <w:sz w:val="32"/>
          <w:szCs w:val="32"/>
        </w:rPr>
        <w:t>财政拨款支出决算反映本单位2021年整体财政拨款支出情况，既包括使用当年财政拨款发生的支出，也包括使用以前年度财政拨款结转和结余资金发生的支出。2021年度财政拨款支出390.54万元，其中：基本支出333.99万元，项目支出56.55万元。</w:t>
      </w:r>
    </w:p>
    <w:p w14:paraId="081237F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（二）具体情况</w:t>
      </w:r>
    </w:p>
    <w:p w14:paraId="5F522596">
      <w:pPr>
        <w:spacing w:line="540" w:lineRule="exact"/>
        <w:ind w:firstLine="660"/>
        <w:rPr>
          <w:rFonts w:ascii="仿宋_GB2312" w:hAnsi="宋体" w:eastAsia="仿宋_GB2312"/>
          <w:sz w:val="32"/>
          <w:szCs w:val="32"/>
        </w:rPr>
      </w:pPr>
      <w:r>
        <w:rPr>
          <w:rFonts w:hint="eastAsia" w:ascii="仿宋_GB2312" w:hAnsi="宋体" w:eastAsia="仿宋_GB2312"/>
          <w:sz w:val="32"/>
          <w:szCs w:val="32"/>
        </w:rPr>
        <w:t>2021年度财政拨款支出390.54万元，比上年增加79.7万元，增加25.64%，主要原因是一工资调标增加，人员工资增加；二是有退休人员去逝，抚恤金增加；三是项目支出增加。其中：按支出功能分类科目分，包括公共安全支出372.75万元，科学技术支出0万元，社会保障和就业支出0万元，医疗卫生支出0万元，节能环保支出0万元，农林水支出0万元，交通运输支出0万元，资源勘探信息等支出0万元，国土资源气象等支出0万元，住房保障支出17.79万元，其他支出0万元。</w:t>
      </w:r>
    </w:p>
    <w:p w14:paraId="198A0750">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1.公共安全支出372.75万元，包括：</w:t>
      </w:r>
    </w:p>
    <w:p w14:paraId="196A8269">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（1）行政运行316.19万元，主要是工资等支出。</w:t>
      </w:r>
    </w:p>
    <w:p w14:paraId="58FFC0EE">
      <w:pPr>
        <w:spacing w:line="540" w:lineRule="exact"/>
        <w:ind w:firstLine="660"/>
        <w:rPr>
          <w:rFonts w:ascii="仿宋_GB2312" w:hAnsi="宋体" w:eastAsia="仿宋_GB2312"/>
          <w:sz w:val="32"/>
          <w:szCs w:val="32"/>
        </w:rPr>
      </w:pPr>
      <w:r>
        <w:rPr>
          <w:rFonts w:hint="eastAsia" w:ascii="仿宋_GB2312" w:hAnsi="宋体" w:eastAsia="仿宋_GB2312"/>
          <w:sz w:val="32"/>
          <w:szCs w:val="32"/>
        </w:rPr>
        <w:t>（2）基层司法业务17.23万元，主要是司法所规范化建设等支出。</w:t>
      </w:r>
    </w:p>
    <w:p w14:paraId="4F84AF38">
      <w:pPr>
        <w:spacing w:line="540" w:lineRule="exact"/>
        <w:ind w:firstLine="660"/>
        <w:rPr>
          <w:rFonts w:ascii="仿宋_GB2312" w:hAnsi="宋体" w:eastAsia="仿宋_GB2312"/>
          <w:sz w:val="32"/>
          <w:szCs w:val="32"/>
        </w:rPr>
      </w:pPr>
      <w:r>
        <w:rPr>
          <w:rFonts w:hint="eastAsia" w:ascii="仿宋_GB2312" w:hAnsi="宋体" w:eastAsia="仿宋_GB2312"/>
          <w:sz w:val="32"/>
          <w:szCs w:val="32"/>
        </w:rPr>
        <w:t>（3）普法宣传3.85万元，主要是法制宣传等支出。</w:t>
      </w:r>
    </w:p>
    <w:p w14:paraId="41F00BF5">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（4）社区矫正10.16万元，主要是社区矫正等支出。</w:t>
      </w:r>
    </w:p>
    <w:p w14:paraId="0184BEFD">
      <w:pPr>
        <w:spacing w:line="540" w:lineRule="exact"/>
        <w:ind w:firstLine="660"/>
        <w:rPr>
          <w:rFonts w:ascii="仿宋_GB2312" w:hAnsi="宋体" w:eastAsia="仿宋_GB2312"/>
          <w:sz w:val="32"/>
          <w:szCs w:val="32"/>
        </w:rPr>
      </w:pPr>
      <w:r>
        <w:rPr>
          <w:rFonts w:hint="eastAsia" w:ascii="仿宋_GB2312" w:hAnsi="宋体" w:eastAsia="仿宋_GB2312"/>
          <w:sz w:val="32"/>
          <w:szCs w:val="32"/>
        </w:rPr>
        <w:t>（5）法律援助25.31万元，主要是法律援助支出。</w:t>
      </w:r>
    </w:p>
    <w:p w14:paraId="44FA3785">
      <w:pPr>
        <w:spacing w:line="540" w:lineRule="exact"/>
        <w:ind w:firstLine="660"/>
        <w:rPr>
          <w:rFonts w:ascii="仿宋_GB2312" w:hAnsi="宋体" w:eastAsia="仿宋_GB2312"/>
          <w:sz w:val="32"/>
          <w:szCs w:val="32"/>
        </w:rPr>
      </w:pPr>
      <w:r>
        <w:rPr>
          <w:rFonts w:hint="eastAsia" w:ascii="仿宋_GB2312" w:hAnsi="宋体" w:eastAsia="仿宋_GB2312"/>
          <w:sz w:val="32"/>
          <w:szCs w:val="32"/>
        </w:rPr>
        <w:t>（6）信息化建设0万元，主要是</w:t>
      </w:r>
      <w:r>
        <w:rPr>
          <w:rFonts w:ascii="仿宋_GB2312" w:hAnsi="宋体" w:eastAsia="仿宋_GB2312"/>
          <w:sz w:val="32"/>
          <w:szCs w:val="32"/>
        </w:rPr>
        <w:t>XX</w:t>
      </w:r>
      <w:r>
        <w:rPr>
          <w:rFonts w:hint="eastAsia" w:ascii="仿宋_GB2312" w:hAnsi="宋体" w:eastAsia="仿宋_GB2312"/>
          <w:sz w:val="32"/>
          <w:szCs w:val="32"/>
        </w:rPr>
        <w:t>等支出。</w:t>
      </w:r>
    </w:p>
    <w:p w14:paraId="589DCFC2">
      <w:pPr>
        <w:spacing w:line="540" w:lineRule="exact"/>
        <w:ind w:firstLine="660"/>
        <w:rPr>
          <w:rFonts w:ascii="仿宋_GB2312" w:hAnsi="宋体" w:eastAsia="仿宋_GB2312"/>
          <w:sz w:val="32"/>
          <w:szCs w:val="32"/>
        </w:rPr>
      </w:pPr>
      <w:r>
        <w:rPr>
          <w:rFonts w:hint="eastAsia" w:ascii="仿宋_GB2312" w:hAnsi="宋体" w:eastAsia="仿宋_GB2312"/>
          <w:sz w:val="32"/>
          <w:szCs w:val="32"/>
        </w:rPr>
        <w:t>（7）其他一般公共服务支出0万元，主要是</w:t>
      </w:r>
      <w:r>
        <w:rPr>
          <w:rFonts w:ascii="仿宋_GB2312" w:hAnsi="宋体" w:eastAsia="仿宋_GB2312"/>
          <w:sz w:val="32"/>
          <w:szCs w:val="32"/>
        </w:rPr>
        <w:t>XX</w:t>
      </w:r>
      <w:r>
        <w:rPr>
          <w:rFonts w:hint="eastAsia" w:ascii="仿宋_GB2312" w:hAnsi="宋体" w:eastAsia="仿宋_GB2312"/>
          <w:sz w:val="32"/>
          <w:szCs w:val="32"/>
        </w:rPr>
        <w:t>等支出。</w:t>
      </w:r>
    </w:p>
    <w:p w14:paraId="6AAE0D29">
      <w:pPr>
        <w:spacing w:line="540" w:lineRule="exact"/>
        <w:ind w:firstLine="660"/>
        <w:rPr>
          <w:rFonts w:ascii="仿宋_GB2312" w:hAnsi="宋体" w:eastAsia="仿宋_GB2312"/>
          <w:sz w:val="32"/>
          <w:szCs w:val="32"/>
        </w:rPr>
      </w:pPr>
      <w:r>
        <w:rPr>
          <w:rFonts w:hint="eastAsia" w:ascii="仿宋_GB2312" w:hAnsi="宋体" w:eastAsia="仿宋_GB2312"/>
          <w:sz w:val="32"/>
          <w:szCs w:val="32"/>
        </w:rPr>
        <w:t>2.科学技术支出0万元，包括：</w:t>
      </w:r>
    </w:p>
    <w:p w14:paraId="0433DEF0">
      <w:pPr>
        <w:spacing w:line="540" w:lineRule="exact"/>
        <w:ind w:firstLine="660"/>
        <w:rPr>
          <w:rFonts w:ascii="仿宋_GB2312" w:hAnsi="宋体" w:eastAsia="仿宋_GB2312"/>
          <w:sz w:val="32"/>
          <w:szCs w:val="32"/>
        </w:rPr>
      </w:pPr>
      <w:r>
        <w:rPr>
          <w:rFonts w:hint="eastAsia" w:ascii="仿宋_GB2312" w:hAnsi="宋体" w:eastAsia="仿宋_GB2312"/>
          <w:sz w:val="32"/>
          <w:szCs w:val="32"/>
        </w:rPr>
        <w:t>其他科学技术支出0万元，主要是</w:t>
      </w:r>
      <w:r>
        <w:rPr>
          <w:rFonts w:ascii="仿宋_GB2312" w:hAnsi="宋体" w:eastAsia="仿宋_GB2312"/>
          <w:sz w:val="32"/>
          <w:szCs w:val="32"/>
        </w:rPr>
        <w:t>XX</w:t>
      </w:r>
      <w:r>
        <w:rPr>
          <w:rFonts w:hint="eastAsia" w:ascii="仿宋_GB2312" w:hAnsi="宋体" w:eastAsia="仿宋_GB2312"/>
          <w:sz w:val="32"/>
          <w:szCs w:val="32"/>
        </w:rPr>
        <w:t>等支出。</w:t>
      </w:r>
    </w:p>
    <w:p w14:paraId="764F7AF3">
      <w:pPr>
        <w:spacing w:line="540" w:lineRule="exact"/>
        <w:ind w:firstLine="660"/>
        <w:rPr>
          <w:rFonts w:ascii="仿宋_GB2312" w:hAnsi="宋体" w:eastAsia="仿宋_GB2312"/>
          <w:sz w:val="32"/>
          <w:szCs w:val="32"/>
        </w:rPr>
      </w:pPr>
      <w:r>
        <w:rPr>
          <w:rFonts w:hint="eastAsia" w:ascii="仿宋_GB2312" w:hAnsi="宋体" w:eastAsia="仿宋_GB2312"/>
          <w:sz w:val="32"/>
          <w:szCs w:val="32"/>
        </w:rPr>
        <w:t>3.社会保障和就业支出0万元，包括：</w:t>
      </w:r>
    </w:p>
    <w:p w14:paraId="2BF99A2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（1）归口管理的行政单位离退休0万元，主要是XX等支出。</w:t>
      </w:r>
    </w:p>
    <w:p w14:paraId="0EB767DE">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（2）事业单位离退休0万元，主要是</w:t>
      </w:r>
      <w:r>
        <w:rPr>
          <w:rFonts w:ascii="仿宋_GB2312" w:hAnsi="宋体" w:eastAsia="仿宋_GB2312"/>
          <w:sz w:val="32"/>
          <w:szCs w:val="32"/>
        </w:rPr>
        <w:t>XX</w:t>
      </w:r>
      <w:r>
        <w:rPr>
          <w:rFonts w:hint="eastAsia" w:ascii="仿宋_GB2312" w:hAnsi="宋体" w:eastAsia="仿宋_GB2312"/>
          <w:sz w:val="32"/>
          <w:szCs w:val="32"/>
        </w:rPr>
        <w:t>等支出。</w:t>
      </w:r>
    </w:p>
    <w:p w14:paraId="691C868D">
      <w:pPr>
        <w:spacing w:line="540" w:lineRule="exact"/>
        <w:ind w:firstLine="660"/>
        <w:rPr>
          <w:rFonts w:ascii="仿宋_GB2312" w:hAnsi="宋体" w:eastAsia="仿宋_GB2312"/>
          <w:sz w:val="32"/>
          <w:szCs w:val="32"/>
        </w:rPr>
      </w:pPr>
      <w:r>
        <w:rPr>
          <w:rFonts w:hint="eastAsia" w:ascii="仿宋_GB2312" w:hAnsi="宋体" w:eastAsia="仿宋_GB2312"/>
          <w:sz w:val="32"/>
          <w:szCs w:val="32"/>
        </w:rPr>
        <w:t>4.医疗卫生支出0万元，包括：</w:t>
      </w:r>
    </w:p>
    <w:p w14:paraId="58F6563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（1）行政单位医疗0万元，主要是</w:t>
      </w:r>
      <w:r>
        <w:rPr>
          <w:rFonts w:ascii="仿宋_GB2312" w:hAnsi="宋体" w:eastAsia="仿宋_GB2312"/>
          <w:sz w:val="32"/>
          <w:szCs w:val="32"/>
        </w:rPr>
        <w:t>XX</w:t>
      </w:r>
      <w:r>
        <w:rPr>
          <w:rFonts w:hint="eastAsia" w:ascii="仿宋_GB2312" w:hAnsi="宋体" w:eastAsia="仿宋_GB2312"/>
          <w:sz w:val="32"/>
          <w:szCs w:val="32"/>
        </w:rPr>
        <w:t>等支出。</w:t>
      </w:r>
    </w:p>
    <w:p w14:paraId="768B907D">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（2）事业单位医疗0万元，主要是</w:t>
      </w:r>
      <w:r>
        <w:rPr>
          <w:rFonts w:ascii="仿宋_GB2312" w:hAnsi="宋体" w:eastAsia="仿宋_GB2312"/>
          <w:sz w:val="32"/>
          <w:szCs w:val="32"/>
        </w:rPr>
        <w:t>XX</w:t>
      </w:r>
      <w:r>
        <w:rPr>
          <w:rFonts w:hint="eastAsia" w:ascii="仿宋_GB2312" w:hAnsi="宋体" w:eastAsia="仿宋_GB2312"/>
          <w:sz w:val="32"/>
          <w:szCs w:val="32"/>
        </w:rPr>
        <w:t>等支出。</w:t>
      </w:r>
    </w:p>
    <w:p w14:paraId="50F93A4B">
      <w:pPr>
        <w:spacing w:line="540" w:lineRule="exact"/>
        <w:ind w:firstLine="660"/>
        <w:rPr>
          <w:rFonts w:ascii="仿宋_GB2312" w:hAnsi="宋体" w:eastAsia="仿宋_GB2312"/>
          <w:sz w:val="32"/>
          <w:szCs w:val="32"/>
        </w:rPr>
      </w:pPr>
      <w:r>
        <w:rPr>
          <w:rFonts w:hint="eastAsia" w:ascii="仿宋_GB2312" w:hAnsi="宋体" w:eastAsia="仿宋_GB2312"/>
          <w:sz w:val="32"/>
          <w:szCs w:val="32"/>
        </w:rPr>
        <w:t>（3）其他医疗卫生支出0万元，主要是</w:t>
      </w:r>
      <w:r>
        <w:rPr>
          <w:rFonts w:ascii="仿宋_GB2312" w:hAnsi="宋体" w:eastAsia="仿宋_GB2312"/>
          <w:sz w:val="32"/>
          <w:szCs w:val="32"/>
        </w:rPr>
        <w:t>XX</w:t>
      </w:r>
      <w:r>
        <w:rPr>
          <w:rFonts w:hint="eastAsia" w:ascii="仿宋_GB2312" w:hAnsi="宋体" w:eastAsia="仿宋_GB2312"/>
          <w:sz w:val="32"/>
          <w:szCs w:val="32"/>
        </w:rPr>
        <w:t>等支出。</w:t>
      </w:r>
    </w:p>
    <w:p w14:paraId="5AA803F8">
      <w:pPr>
        <w:spacing w:line="540" w:lineRule="exact"/>
        <w:ind w:firstLine="660"/>
        <w:rPr>
          <w:rFonts w:ascii="仿宋_GB2312" w:hAnsi="宋体" w:eastAsia="仿宋_GB2312"/>
          <w:sz w:val="32"/>
          <w:szCs w:val="32"/>
        </w:rPr>
      </w:pPr>
      <w:r>
        <w:rPr>
          <w:rFonts w:hint="eastAsia" w:ascii="仿宋_GB2312" w:hAnsi="宋体" w:eastAsia="仿宋_GB2312"/>
          <w:sz w:val="32"/>
          <w:szCs w:val="32"/>
        </w:rPr>
        <w:t>5.节能环保支出0万元，包括：</w:t>
      </w:r>
    </w:p>
    <w:p w14:paraId="324CFB19">
      <w:pPr>
        <w:spacing w:line="540" w:lineRule="exact"/>
        <w:ind w:firstLine="660"/>
        <w:rPr>
          <w:rFonts w:ascii="仿宋_GB2312" w:hAnsi="宋体" w:eastAsia="仿宋_GB2312"/>
          <w:sz w:val="32"/>
          <w:szCs w:val="32"/>
        </w:rPr>
      </w:pPr>
      <w:r>
        <w:rPr>
          <w:rFonts w:hint="eastAsia" w:ascii="仿宋_GB2312" w:hAnsi="宋体" w:eastAsia="仿宋_GB2312"/>
          <w:sz w:val="32"/>
          <w:szCs w:val="32"/>
        </w:rPr>
        <w:t>水体支出0万元，主要是</w:t>
      </w:r>
      <w:r>
        <w:rPr>
          <w:rFonts w:ascii="仿宋_GB2312" w:hAnsi="宋体" w:eastAsia="仿宋_GB2312"/>
          <w:sz w:val="32"/>
          <w:szCs w:val="32"/>
        </w:rPr>
        <w:t>XX</w:t>
      </w:r>
      <w:r>
        <w:rPr>
          <w:rFonts w:hint="eastAsia" w:ascii="仿宋_GB2312" w:hAnsi="宋体" w:eastAsia="仿宋_GB2312"/>
          <w:sz w:val="32"/>
          <w:szCs w:val="32"/>
        </w:rPr>
        <w:t>等支出。</w:t>
      </w:r>
    </w:p>
    <w:p w14:paraId="7EC5F361">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6.农林水事务支出0万元，包括：</w:t>
      </w:r>
    </w:p>
    <w:p w14:paraId="25F516E3">
      <w:pPr>
        <w:spacing w:line="540" w:lineRule="exact"/>
        <w:ind w:firstLine="660"/>
        <w:rPr>
          <w:rFonts w:ascii="仿宋_GB2312" w:hAnsi="宋体" w:eastAsia="仿宋_GB2312"/>
          <w:sz w:val="32"/>
          <w:szCs w:val="32"/>
        </w:rPr>
      </w:pPr>
      <w:r>
        <w:rPr>
          <w:rFonts w:hint="eastAsia" w:ascii="仿宋_GB2312" w:hAnsi="宋体" w:eastAsia="仿宋_GB2312"/>
          <w:sz w:val="32"/>
          <w:szCs w:val="32"/>
        </w:rPr>
        <w:t>其他农业支出0万元，主要是</w:t>
      </w:r>
      <w:r>
        <w:rPr>
          <w:rFonts w:ascii="仿宋_GB2312" w:hAnsi="宋体" w:eastAsia="仿宋_GB2312"/>
          <w:sz w:val="32"/>
          <w:szCs w:val="32"/>
        </w:rPr>
        <w:t>XX</w:t>
      </w:r>
      <w:r>
        <w:rPr>
          <w:rFonts w:hint="eastAsia" w:ascii="仿宋_GB2312" w:hAnsi="宋体" w:eastAsia="仿宋_GB2312"/>
          <w:sz w:val="32"/>
          <w:szCs w:val="32"/>
        </w:rPr>
        <w:t>等支出。</w:t>
      </w:r>
    </w:p>
    <w:p w14:paraId="3586503D">
      <w:pPr>
        <w:spacing w:line="540" w:lineRule="exact"/>
        <w:ind w:firstLine="660"/>
        <w:rPr>
          <w:rFonts w:ascii="仿宋_GB2312" w:hAnsi="宋体" w:eastAsia="仿宋_GB2312"/>
          <w:sz w:val="32"/>
          <w:szCs w:val="32"/>
        </w:rPr>
      </w:pPr>
      <w:r>
        <w:rPr>
          <w:rFonts w:hint="eastAsia" w:ascii="仿宋_GB2312" w:hAnsi="宋体" w:eastAsia="仿宋_GB2312"/>
          <w:sz w:val="32"/>
          <w:szCs w:val="32"/>
        </w:rPr>
        <w:t>7.交通运输支出0万元，包括：</w:t>
      </w:r>
    </w:p>
    <w:p w14:paraId="43519DE7">
      <w:pPr>
        <w:spacing w:line="540" w:lineRule="exact"/>
        <w:ind w:firstLine="660"/>
        <w:rPr>
          <w:rFonts w:ascii="仿宋_GB2312" w:hAnsi="宋体" w:eastAsia="仿宋_GB2312"/>
          <w:sz w:val="32"/>
          <w:szCs w:val="32"/>
        </w:rPr>
      </w:pPr>
      <w:r>
        <w:rPr>
          <w:rFonts w:hint="eastAsia" w:ascii="仿宋_GB2312" w:hAnsi="宋体" w:eastAsia="仿宋_GB2312"/>
          <w:sz w:val="32"/>
          <w:szCs w:val="32"/>
        </w:rPr>
        <w:t>石油价格改革补贴其他支出0万元，主要是</w:t>
      </w:r>
      <w:r>
        <w:rPr>
          <w:rFonts w:ascii="仿宋_GB2312" w:hAnsi="宋体" w:eastAsia="仿宋_GB2312"/>
          <w:sz w:val="32"/>
          <w:szCs w:val="32"/>
        </w:rPr>
        <w:t>XX</w:t>
      </w:r>
      <w:r>
        <w:rPr>
          <w:rFonts w:hint="eastAsia" w:ascii="仿宋_GB2312" w:hAnsi="宋体" w:eastAsia="仿宋_GB2312"/>
          <w:sz w:val="32"/>
          <w:szCs w:val="32"/>
        </w:rPr>
        <w:t>等支出。</w:t>
      </w:r>
    </w:p>
    <w:p w14:paraId="7223AEF9">
      <w:pPr>
        <w:spacing w:line="540" w:lineRule="exact"/>
        <w:ind w:firstLine="660"/>
        <w:rPr>
          <w:rFonts w:ascii="仿宋_GB2312" w:hAnsi="宋体" w:eastAsia="仿宋_GB2312"/>
          <w:sz w:val="32"/>
          <w:szCs w:val="32"/>
        </w:rPr>
      </w:pPr>
      <w:r>
        <w:rPr>
          <w:rFonts w:hint="eastAsia" w:ascii="仿宋_GB2312" w:hAnsi="宋体" w:eastAsia="仿宋_GB2312"/>
          <w:sz w:val="32"/>
          <w:szCs w:val="32"/>
        </w:rPr>
        <w:t>8.资源勘探信息等支出0万元，包括：</w:t>
      </w:r>
    </w:p>
    <w:p w14:paraId="1214B029">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（1）其他工业和信息产业监管支出0万元，主要是</w:t>
      </w:r>
      <w:r>
        <w:rPr>
          <w:rFonts w:ascii="仿宋_GB2312" w:hAnsi="宋体" w:eastAsia="仿宋_GB2312"/>
          <w:sz w:val="32"/>
          <w:szCs w:val="32"/>
        </w:rPr>
        <w:t>XX</w:t>
      </w:r>
      <w:r>
        <w:rPr>
          <w:rFonts w:hint="eastAsia" w:ascii="仿宋_GB2312" w:hAnsi="宋体" w:eastAsia="仿宋_GB2312"/>
          <w:sz w:val="32"/>
          <w:szCs w:val="32"/>
        </w:rPr>
        <w:t>等支出。</w:t>
      </w:r>
    </w:p>
    <w:p w14:paraId="78533092">
      <w:pPr>
        <w:spacing w:line="540" w:lineRule="exact"/>
        <w:ind w:firstLine="660"/>
        <w:rPr>
          <w:rFonts w:ascii="仿宋_GB2312" w:hAnsi="宋体" w:eastAsia="仿宋_GB2312"/>
          <w:sz w:val="32"/>
          <w:szCs w:val="32"/>
        </w:rPr>
      </w:pPr>
      <w:r>
        <w:rPr>
          <w:rFonts w:hint="eastAsia" w:ascii="仿宋_GB2312" w:hAnsi="宋体" w:eastAsia="仿宋_GB2312"/>
          <w:sz w:val="32"/>
          <w:szCs w:val="32"/>
        </w:rPr>
        <w:t>（2）建设项目贷款贴息支出0万元，主要是</w:t>
      </w:r>
      <w:r>
        <w:rPr>
          <w:rFonts w:ascii="仿宋_GB2312" w:hAnsi="宋体" w:eastAsia="仿宋_GB2312"/>
          <w:sz w:val="32"/>
          <w:szCs w:val="32"/>
        </w:rPr>
        <w:t>XX</w:t>
      </w:r>
      <w:r>
        <w:rPr>
          <w:rFonts w:hint="eastAsia" w:ascii="仿宋_GB2312" w:hAnsi="宋体" w:eastAsia="仿宋_GB2312"/>
          <w:sz w:val="32"/>
          <w:szCs w:val="32"/>
        </w:rPr>
        <w:t>等支出。</w:t>
      </w:r>
    </w:p>
    <w:p w14:paraId="45E32110">
      <w:pPr>
        <w:spacing w:line="540" w:lineRule="exact"/>
        <w:ind w:firstLine="660"/>
        <w:rPr>
          <w:rFonts w:ascii="仿宋_GB2312" w:hAnsi="宋体" w:eastAsia="仿宋_GB2312"/>
          <w:sz w:val="32"/>
          <w:szCs w:val="32"/>
        </w:rPr>
      </w:pPr>
      <w:r>
        <w:rPr>
          <w:rFonts w:hint="eastAsia" w:ascii="仿宋_GB2312" w:hAnsi="宋体" w:eastAsia="仿宋_GB2312"/>
          <w:sz w:val="32"/>
          <w:szCs w:val="32"/>
        </w:rPr>
        <w:t>9.国土资源气象等事务支出0万元，包括：</w:t>
      </w:r>
    </w:p>
    <w:p w14:paraId="449CFACB">
      <w:pPr>
        <w:spacing w:line="540" w:lineRule="exact"/>
        <w:ind w:firstLine="660"/>
        <w:rPr>
          <w:rFonts w:ascii="仿宋_GB2312" w:hAnsi="宋体" w:eastAsia="仿宋_GB2312"/>
          <w:sz w:val="32"/>
          <w:szCs w:val="32"/>
        </w:rPr>
      </w:pPr>
      <w:r>
        <w:rPr>
          <w:rFonts w:hint="eastAsia" w:ascii="仿宋_GB2312" w:hAnsi="宋体" w:eastAsia="仿宋_GB2312"/>
          <w:sz w:val="32"/>
          <w:szCs w:val="32"/>
        </w:rPr>
        <w:t>其他国土资源事务支出0万元，主要是</w:t>
      </w:r>
      <w:r>
        <w:rPr>
          <w:rFonts w:ascii="仿宋_GB2312" w:hAnsi="宋体" w:eastAsia="仿宋_GB2312"/>
          <w:sz w:val="32"/>
          <w:szCs w:val="32"/>
        </w:rPr>
        <w:t>XX</w:t>
      </w:r>
      <w:r>
        <w:rPr>
          <w:rFonts w:hint="eastAsia" w:ascii="仿宋_GB2312" w:hAnsi="宋体" w:eastAsia="仿宋_GB2312"/>
          <w:sz w:val="32"/>
          <w:szCs w:val="32"/>
        </w:rPr>
        <w:t>等支出。</w:t>
      </w:r>
    </w:p>
    <w:p w14:paraId="4CE64AF7">
      <w:pPr>
        <w:spacing w:line="540" w:lineRule="exact"/>
        <w:ind w:firstLine="660"/>
        <w:rPr>
          <w:rFonts w:ascii="仿宋_GB2312" w:hAnsi="宋体" w:eastAsia="仿宋_GB2312"/>
          <w:sz w:val="32"/>
          <w:szCs w:val="32"/>
        </w:rPr>
      </w:pPr>
      <w:r>
        <w:rPr>
          <w:rFonts w:hint="eastAsia" w:ascii="仿宋_GB2312" w:hAnsi="宋体" w:eastAsia="仿宋_GB2312"/>
          <w:sz w:val="32"/>
          <w:szCs w:val="32"/>
        </w:rPr>
        <w:t>10.住房保障支出17.79万元，包括：</w:t>
      </w:r>
    </w:p>
    <w:p w14:paraId="450F06A1">
      <w:pPr>
        <w:spacing w:line="540" w:lineRule="exact"/>
        <w:ind w:firstLine="660"/>
        <w:rPr>
          <w:rFonts w:ascii="仿宋_GB2312" w:hAnsi="宋体" w:eastAsia="仿宋_GB2312"/>
          <w:sz w:val="32"/>
          <w:szCs w:val="32"/>
        </w:rPr>
      </w:pPr>
      <w:r>
        <w:rPr>
          <w:rFonts w:hint="eastAsia" w:ascii="仿宋_GB2312" w:hAnsi="宋体" w:eastAsia="仿宋_GB2312"/>
          <w:sz w:val="32"/>
          <w:szCs w:val="32"/>
        </w:rPr>
        <w:t>住房公积金17.79万元，主要是职工住房公积金支出。</w:t>
      </w:r>
    </w:p>
    <w:p w14:paraId="756C40D2">
      <w:pPr>
        <w:spacing w:line="540" w:lineRule="exact"/>
        <w:ind w:firstLine="660"/>
        <w:rPr>
          <w:rFonts w:ascii="仿宋_GB2312" w:hAnsi="宋体" w:eastAsia="仿宋_GB2312"/>
          <w:sz w:val="32"/>
          <w:szCs w:val="32"/>
        </w:rPr>
      </w:pPr>
      <w:r>
        <w:rPr>
          <w:rFonts w:hint="eastAsia" w:ascii="仿宋_GB2312" w:hAnsi="宋体" w:eastAsia="仿宋_GB2312"/>
          <w:sz w:val="32"/>
          <w:szCs w:val="32"/>
        </w:rPr>
        <w:t>11.其他支出0万元，包括：</w:t>
      </w:r>
    </w:p>
    <w:p w14:paraId="5F0B6D85">
      <w:pPr>
        <w:spacing w:line="540" w:lineRule="exact"/>
        <w:ind w:firstLine="660"/>
        <w:rPr>
          <w:rFonts w:ascii="仿宋_GB2312" w:hAnsi="宋体" w:eastAsia="仿宋_GB2312"/>
          <w:sz w:val="32"/>
          <w:szCs w:val="32"/>
        </w:rPr>
      </w:pPr>
      <w:r>
        <w:rPr>
          <w:rFonts w:hint="eastAsia" w:ascii="仿宋_GB2312" w:hAnsi="宋体" w:eastAsia="仿宋_GB2312"/>
          <w:sz w:val="32"/>
          <w:szCs w:val="32"/>
        </w:rPr>
        <w:t>其他支出0万元，主要是</w:t>
      </w:r>
      <w:r>
        <w:rPr>
          <w:rFonts w:ascii="仿宋_GB2312" w:hAnsi="宋体" w:eastAsia="仿宋_GB2312"/>
          <w:sz w:val="32"/>
          <w:szCs w:val="32"/>
        </w:rPr>
        <w:t>XX</w:t>
      </w:r>
      <w:r>
        <w:rPr>
          <w:rFonts w:hint="eastAsia" w:ascii="仿宋_GB2312" w:hAnsi="宋体" w:eastAsia="仿宋_GB2312"/>
          <w:sz w:val="32"/>
          <w:szCs w:val="32"/>
        </w:rPr>
        <w:t>等支出。</w:t>
      </w:r>
    </w:p>
    <w:p w14:paraId="50BF04C7">
      <w:pPr>
        <w:spacing w:line="540" w:lineRule="exact"/>
        <w:ind w:firstLine="660"/>
        <w:rPr>
          <w:rFonts w:ascii="黑体" w:hAnsi="黑体" w:eastAsia="黑体"/>
          <w:sz w:val="32"/>
          <w:szCs w:val="32"/>
        </w:rPr>
      </w:pPr>
      <w:r>
        <w:rPr>
          <w:rFonts w:hint="eastAsia" w:ascii="黑体" w:hAnsi="黑体" w:eastAsia="黑体"/>
          <w:sz w:val="32"/>
          <w:szCs w:val="32"/>
        </w:rPr>
        <w:t>三、公共预算财政拨款“三公”经费支出决算情况</w:t>
      </w:r>
    </w:p>
    <w:p w14:paraId="224610FE">
      <w:pPr>
        <w:spacing w:line="540" w:lineRule="exact"/>
        <w:ind w:firstLine="645"/>
        <w:rPr>
          <w:rFonts w:ascii="仿宋_GB2312" w:hAnsi="宋体" w:eastAsia="仿宋_GB2312"/>
          <w:sz w:val="32"/>
          <w:szCs w:val="32"/>
        </w:rPr>
      </w:pPr>
      <w:r>
        <w:rPr>
          <w:rFonts w:hint="eastAsia" w:ascii="仿宋_GB2312" w:hAnsi="宋体" w:eastAsia="仿宋_GB2312"/>
          <w:sz w:val="32"/>
          <w:szCs w:val="32"/>
        </w:rPr>
        <w:t>2021年度公共预算财政拨款安排的“三公”经费支出0.54万元，其中：因公出国（境）费0万元，公务接待费0万元，公务用车购置及运行维护费0.54万元。2021年度“三公”经费支出比2020年初预算少支出1.06万元，主要是公务车运行维护费减少原因。比2020年决算增加0。12万元，增加28.57%，主要是公务用车运行维护费增加。</w:t>
      </w:r>
    </w:p>
    <w:p w14:paraId="0F562A7E">
      <w:pPr>
        <w:spacing w:line="540" w:lineRule="exact"/>
        <w:ind w:firstLine="645"/>
        <w:rPr>
          <w:rFonts w:ascii="仿宋_GB2312" w:hAnsi="宋体" w:eastAsia="仿宋_GB2312"/>
          <w:sz w:val="32"/>
          <w:szCs w:val="32"/>
        </w:rPr>
      </w:pPr>
      <w:r>
        <w:rPr>
          <w:rFonts w:hint="eastAsia" w:ascii="仿宋_GB2312" w:hAnsi="宋体" w:eastAsia="仿宋_GB2312"/>
          <w:sz w:val="32"/>
          <w:szCs w:val="32"/>
        </w:rPr>
        <w:t>1.因公出国（境）费0万元，主要用于</w:t>
      </w:r>
      <w:r>
        <w:rPr>
          <w:rFonts w:ascii="仿宋_GB2312" w:hAnsi="宋体" w:eastAsia="仿宋_GB2312"/>
          <w:sz w:val="32"/>
          <w:szCs w:val="32"/>
        </w:rPr>
        <w:t>XX</w:t>
      </w:r>
      <w:r>
        <w:rPr>
          <w:rFonts w:hint="eastAsia" w:ascii="仿宋_GB2312" w:hAnsi="宋体" w:eastAsia="仿宋_GB2312"/>
          <w:sz w:val="32"/>
          <w:szCs w:val="32"/>
        </w:rPr>
        <w:t>等，2021年参加出国（境）团组0个，累计0人次。</w:t>
      </w:r>
    </w:p>
    <w:p w14:paraId="3F838B6F">
      <w:pPr>
        <w:spacing w:line="540" w:lineRule="exact"/>
        <w:ind w:firstLine="645"/>
        <w:rPr>
          <w:rFonts w:ascii="仿宋_GB2312" w:hAnsi="宋体" w:eastAsia="仿宋_GB2312"/>
          <w:sz w:val="32"/>
          <w:szCs w:val="32"/>
        </w:rPr>
      </w:pPr>
      <w:r>
        <w:rPr>
          <w:rFonts w:hint="eastAsia" w:ascii="仿宋_GB2312" w:hAnsi="宋体" w:eastAsia="仿宋_GB2312"/>
          <w:sz w:val="32"/>
          <w:szCs w:val="32"/>
        </w:rPr>
        <w:t>2.公务接待费0万元，主要用于</w:t>
      </w:r>
      <w:r>
        <w:rPr>
          <w:rFonts w:ascii="仿宋_GB2312" w:hAnsi="宋体" w:eastAsia="仿宋_GB2312"/>
          <w:sz w:val="32"/>
          <w:szCs w:val="32"/>
        </w:rPr>
        <w:t>XX</w:t>
      </w:r>
      <w:r>
        <w:rPr>
          <w:rFonts w:hint="eastAsia" w:ascii="仿宋_GB2312" w:hAnsi="宋体" w:eastAsia="仿宋_GB2312"/>
          <w:sz w:val="32"/>
          <w:szCs w:val="32"/>
        </w:rPr>
        <w:t>等，2021年国内公务接待累计0批次，0人，0万元。</w:t>
      </w:r>
    </w:p>
    <w:p w14:paraId="76DA65B4">
      <w:pPr>
        <w:spacing w:line="540" w:lineRule="exact"/>
        <w:ind w:firstLine="645"/>
        <w:rPr>
          <w:rFonts w:ascii="仿宋_GB2312" w:hAnsi="宋体" w:eastAsia="仿宋_GB2312"/>
          <w:sz w:val="32"/>
          <w:szCs w:val="32"/>
        </w:rPr>
      </w:pPr>
      <w:r>
        <w:rPr>
          <w:rFonts w:hint="eastAsia" w:ascii="仿宋_GB2312" w:hAnsi="宋体" w:eastAsia="仿宋_GB2312"/>
          <w:sz w:val="32"/>
          <w:szCs w:val="32"/>
        </w:rPr>
        <w:t>3.公务用车购置及运行维护费0.54万元，其中：公务用车购置费0万元，公务用车运行维护费0.54万元。2021年购置公务用车0辆，年末公务用车保有量1辆。</w:t>
      </w:r>
    </w:p>
    <w:p w14:paraId="3AE3D5CF">
      <w:pPr>
        <w:spacing w:line="540" w:lineRule="exact"/>
        <w:ind w:firstLine="640" w:firstLineChars="200"/>
        <w:rPr>
          <w:rFonts w:ascii="黑体" w:hAnsi="黑体" w:eastAsia="黑体"/>
          <w:sz w:val="32"/>
          <w:szCs w:val="32"/>
        </w:rPr>
      </w:pPr>
      <w:r>
        <w:rPr>
          <w:rFonts w:hint="eastAsia" w:ascii="黑体" w:hAnsi="黑体" w:eastAsia="黑体"/>
          <w:sz w:val="32"/>
          <w:szCs w:val="32"/>
        </w:rPr>
        <w:t>四、其他重要事项的情况说明</w:t>
      </w:r>
    </w:p>
    <w:p w14:paraId="1BE2948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14F16F6A">
      <w:pPr>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2021年机关运行经费支出24.57万元，比2020年减少1.99万元，减少7.4%，主要原因是商品支出减少。</w:t>
      </w:r>
    </w:p>
    <w:p w14:paraId="3F83014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0408000A">
      <w:pPr>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2021年本单位政府采购支出总额10.1万元，其中：政府采购货物支出0万元，政府采购工程支出8.6万元，政府采购服务支出1.5万元。</w:t>
      </w:r>
      <w:r>
        <w:rPr>
          <w:rFonts w:hint="eastAsia" w:ascii="仿宋_GB2312" w:eastAsia="仿宋_GB2312"/>
          <w:sz w:val="32"/>
          <w:szCs w:val="32"/>
        </w:rPr>
        <w:t>其中：授予小微企业合同金额0万元，占政府采购支出总额的0%。</w:t>
      </w:r>
    </w:p>
    <w:p w14:paraId="48A94DE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5CF1E322">
      <w:pPr>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2021年12月31日，本单位共有车辆1辆，其中：副局级以上领导干部用车0辆，一般公务用车0辆，一般执法执勤用车1辆，特种专业技术用车0辆，其他用车0辆；单位价值50万元以上设备0台（套）,单价100万元以上专用设备0台（套）。</w:t>
      </w:r>
    </w:p>
    <w:p w14:paraId="37612368">
      <w:pPr>
        <w:spacing w:line="540" w:lineRule="exact"/>
        <w:ind w:firstLine="720"/>
        <w:rPr>
          <w:rFonts w:ascii="楷体_GB2312" w:hAnsi="宋体" w:eastAsia="楷体_GB2312"/>
          <w:b/>
          <w:sz w:val="32"/>
          <w:szCs w:val="32"/>
        </w:rPr>
      </w:pPr>
      <w:r>
        <w:rPr>
          <w:rFonts w:hint="eastAsia" w:ascii="楷体_GB2312" w:hAnsi="宋体" w:eastAsia="楷体_GB2312"/>
          <w:b/>
          <w:sz w:val="32"/>
          <w:szCs w:val="32"/>
        </w:rPr>
        <w:t>（四）预算绩效管理工作开展情况</w:t>
      </w:r>
    </w:p>
    <w:p w14:paraId="4CE96DDF">
      <w:pPr>
        <w:ind w:firstLine="640" w:firstLineChars="200"/>
        <w:rPr>
          <w:rFonts w:ascii="仿宋_GB2312" w:hAnsi="仿宋_GB2312" w:eastAsia="仿宋_GB2312" w:cs="仿宋_GB2312"/>
          <w:sz w:val="32"/>
          <w:szCs w:val="32"/>
        </w:rPr>
      </w:pPr>
      <w:r>
        <w:rPr>
          <w:rFonts w:hint="eastAsia" w:ascii="仿宋_GB2312" w:hAnsi="宋体" w:eastAsia="仿宋_GB2312" w:cs="宋体"/>
          <w:sz w:val="32"/>
          <w:szCs w:val="32"/>
        </w:rPr>
        <w:t>根据财政预算管理要求，我单位组织对2021年度预算项目支出全面开展绩效自评，共涉及预算支出项目</w:t>
      </w:r>
      <w:r>
        <w:rPr>
          <w:rFonts w:hint="eastAsia" w:ascii="仿宋_GB2312" w:hAnsi="黑体" w:eastAsia="仿宋_GB2312"/>
          <w:sz w:val="32"/>
          <w:szCs w:val="32"/>
        </w:rPr>
        <w:t>5</w:t>
      </w:r>
      <w:r>
        <w:rPr>
          <w:rFonts w:hint="eastAsia" w:ascii="仿宋_GB2312" w:hAnsi="宋体" w:eastAsia="仿宋_GB2312" w:cs="宋体"/>
          <w:sz w:val="32"/>
          <w:szCs w:val="32"/>
        </w:rPr>
        <w:t>个，涉及资金</w:t>
      </w:r>
      <w:r>
        <w:rPr>
          <w:rFonts w:hint="eastAsia" w:ascii="仿宋_GB2312" w:hAnsi="黑体" w:eastAsia="仿宋_GB2312"/>
          <w:sz w:val="32"/>
          <w:szCs w:val="32"/>
        </w:rPr>
        <w:t>24.8</w:t>
      </w:r>
      <w:r>
        <w:rPr>
          <w:rFonts w:hint="eastAsia" w:ascii="仿宋_GB2312" w:hAnsi="宋体" w:eastAsia="仿宋_GB2312" w:cs="宋体"/>
          <w:sz w:val="32"/>
          <w:szCs w:val="32"/>
        </w:rPr>
        <w:t>万元，自评覆盖率（开展绩效自评的项目数/年初批复绩效目标的项目数）达到</w:t>
      </w:r>
      <w:r>
        <w:rPr>
          <w:rFonts w:hint="eastAsia" w:ascii="仿宋_GB2312" w:hAnsi="黑体" w:eastAsia="仿宋_GB2312"/>
          <w:sz w:val="32"/>
          <w:szCs w:val="32"/>
        </w:rPr>
        <w:t>100</w:t>
      </w:r>
      <w:r>
        <w:rPr>
          <w:rFonts w:hint="eastAsia" w:ascii="仿宋_GB2312" w:hAnsi="宋体" w:eastAsia="仿宋_GB2312" w:cs="宋体"/>
          <w:sz w:val="32"/>
          <w:szCs w:val="32"/>
        </w:rPr>
        <w:t>%，自评平均分（开展绩效自评的项目分数总和/开展绩效自评的项目数）</w:t>
      </w:r>
      <w:r>
        <w:rPr>
          <w:rFonts w:hint="eastAsia" w:ascii="仿宋_GB2312" w:hAnsi="黑体" w:eastAsia="仿宋_GB2312"/>
          <w:sz w:val="32"/>
          <w:szCs w:val="32"/>
        </w:rPr>
        <w:t>100</w:t>
      </w:r>
      <w:r>
        <w:rPr>
          <w:rFonts w:hint="eastAsia" w:ascii="仿宋_GB2312" w:hAnsi="宋体" w:eastAsia="仿宋_GB2312" w:cs="宋体"/>
          <w:sz w:val="32"/>
          <w:szCs w:val="32"/>
        </w:rPr>
        <w:t>分。</w:t>
      </w:r>
    </w:p>
    <w:p w14:paraId="41414691">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通过绩效自评发现预算项目管理主要存在的问题和措施：</w:t>
      </w:r>
      <w:r>
        <w:rPr>
          <w:rFonts w:hint="eastAsia" w:ascii="黑体" w:hAnsi="黑体" w:eastAsia="黑体" w:cs="宋体"/>
          <w:sz w:val="32"/>
          <w:szCs w:val="32"/>
        </w:rPr>
        <w:t>无</w:t>
      </w:r>
    </w:p>
    <w:p w14:paraId="0C93E828">
      <w:pPr>
        <w:ind w:firstLine="723" w:firstLineChars="200"/>
        <w:rPr>
          <w:rFonts w:ascii="宋体" w:hAnsi="宋体"/>
          <w:b/>
          <w:sz w:val="36"/>
          <w:szCs w:val="36"/>
        </w:rPr>
      </w:pPr>
    </w:p>
    <w:p w14:paraId="5A8EB6B6">
      <w:pPr>
        <w:spacing w:line="540" w:lineRule="exact"/>
        <w:jc w:val="center"/>
        <w:rPr>
          <w:rFonts w:ascii="宋体" w:hAnsi="宋体"/>
          <w:b/>
          <w:sz w:val="36"/>
          <w:szCs w:val="36"/>
        </w:rPr>
      </w:pPr>
      <w:r>
        <w:rPr>
          <w:rFonts w:hint="eastAsia" w:ascii="宋体" w:hAnsi="宋体"/>
          <w:b/>
          <w:sz w:val="36"/>
          <w:szCs w:val="36"/>
        </w:rPr>
        <w:t>第四部分 名词解释</w:t>
      </w:r>
    </w:p>
    <w:p w14:paraId="5ED01737">
      <w:pPr>
        <w:spacing w:line="540" w:lineRule="exact"/>
        <w:jc w:val="center"/>
        <w:rPr>
          <w:rFonts w:ascii="黑体" w:eastAsia="黑体"/>
          <w:sz w:val="36"/>
          <w:szCs w:val="36"/>
        </w:rPr>
      </w:pPr>
    </w:p>
    <w:p w14:paraId="360CEDCB">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指省级财政当年拨付的资金。</w:t>
      </w:r>
    </w:p>
    <w:p w14:paraId="7F55AFFA">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0CBC1B46">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1EAE8A98">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5ABE75E7">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5A18383A">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541EB4BA">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7.用事业基金弥补收支差额：</w:t>
      </w:r>
      <w:r>
        <w:rPr>
          <w:rFonts w:hint="eastAsia" w:ascii="仿宋_GB2312" w:eastAsia="仿宋_GB2312"/>
          <w:sz w:val="32"/>
          <w:szCs w:val="32"/>
        </w:rPr>
        <w:t>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14:paraId="62444977">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227C7E5B">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6C0F8E3A">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指在基本支出之外为完成特定行政任务和事业发展目标所发生的支出。</w:t>
      </w:r>
    </w:p>
    <w:p w14:paraId="668460BF">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3D08E1A9">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03CA2471">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45E371FD">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F132F4E">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15.一般公共服务（类）财政事务（款）行政运行（项）：</w:t>
      </w:r>
      <w:r>
        <w:rPr>
          <w:rFonts w:hint="eastAsia" w:ascii="仿宋_GB2312" w:eastAsia="仿宋_GB2312"/>
          <w:sz w:val="32"/>
          <w:szCs w:val="32"/>
        </w:rPr>
        <w:t>反映行政单位（包括实行公务员管理的事业单位）的基本支出。</w:t>
      </w:r>
    </w:p>
    <w:p w14:paraId="2186AB9D">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16.一般公共服务（类）财政事务（款）一般行政管理事务（项）：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011287B1">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17.一般公共服务（类）财政事务（款）预算改革业务（项）：</w:t>
      </w:r>
      <w:r>
        <w:rPr>
          <w:rFonts w:hint="eastAsia" w:ascii="仿宋_GB2312" w:eastAsia="仿宋_GB2312"/>
          <w:sz w:val="32"/>
          <w:szCs w:val="32"/>
        </w:rPr>
        <w:t>反映财政部门用于预算改革方面的支出。</w:t>
      </w:r>
    </w:p>
    <w:p w14:paraId="44E02F07">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18.一般公共服务（类）财政事务（款）财政国库业务（项）：</w:t>
      </w:r>
      <w:r>
        <w:rPr>
          <w:rFonts w:hint="eastAsia" w:ascii="仿宋_GB2312" w:eastAsia="仿宋_GB2312"/>
          <w:sz w:val="32"/>
          <w:szCs w:val="32"/>
        </w:rPr>
        <w:t>反映财政部门用于财政国库集中收付业务方面的支出。</w:t>
      </w:r>
    </w:p>
    <w:p w14:paraId="53754E9B">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19.一般公共服务（类）财政事务（款）信息化建设支出（项）：</w:t>
      </w:r>
      <w:r>
        <w:rPr>
          <w:rFonts w:hint="eastAsia" w:ascii="仿宋_GB2312" w:eastAsia="仿宋_GB2312"/>
          <w:sz w:val="32"/>
          <w:szCs w:val="32"/>
        </w:rPr>
        <w:t>反映财政部门用于“金财工程”等信息化建设方面的支出。</w:t>
      </w:r>
    </w:p>
    <w:p w14:paraId="61EDBDBD">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20.一般公共服务（类）财政事务（款）财政委托业务支出（项）：</w:t>
      </w:r>
      <w:r>
        <w:rPr>
          <w:rFonts w:hint="eastAsia" w:ascii="仿宋_GB2312" w:eastAsia="仿宋_GB2312"/>
          <w:sz w:val="32"/>
          <w:szCs w:val="32"/>
        </w:rPr>
        <w:t>反映财政委托评审机构进行财政投资评审和委托建设银行等机构代理业务发生的支出。</w:t>
      </w:r>
    </w:p>
    <w:p w14:paraId="251F4558">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21.一般公共服务（类）财政事务（款）事业运行（项）：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014EED2F">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22.一般公共服务（类）财政事务（款）其他财政事务支出（项）：</w:t>
      </w:r>
      <w:r>
        <w:rPr>
          <w:rFonts w:hint="eastAsia" w:ascii="仿宋_GB2312" w:eastAsia="仿宋_GB2312"/>
          <w:sz w:val="32"/>
          <w:szCs w:val="32"/>
        </w:rPr>
        <w:t>反映除上述项目以外其他财政事务方面的支出。</w:t>
      </w:r>
    </w:p>
    <w:p w14:paraId="3D04F231">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23.科学技术（类）其他科学技术支出（款）其他科学技术支出（项）：</w:t>
      </w:r>
      <w:r>
        <w:rPr>
          <w:rFonts w:hint="eastAsia" w:ascii="仿宋_GB2312" w:eastAsia="仿宋_GB2312"/>
          <w:sz w:val="32"/>
          <w:szCs w:val="32"/>
        </w:rPr>
        <w:t>反映其他用于科技方面的支出。</w:t>
      </w:r>
    </w:p>
    <w:p w14:paraId="6C46E171">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24.社会保障和就业（类）行政事业单位离退休（款）归口管理的行政单位离退休（项）：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440CC098">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25.社会保障和就业（类）行政事业单位离退休（款）事业单位离退休（项）：</w:t>
      </w:r>
      <w:r>
        <w:rPr>
          <w:rFonts w:hint="eastAsia" w:ascii="仿宋_GB2312" w:eastAsia="仿宋_GB2312"/>
          <w:sz w:val="32"/>
          <w:szCs w:val="32"/>
        </w:rPr>
        <w:t>反映实行归口管理的事业单位开支的离退休经费。</w:t>
      </w:r>
    </w:p>
    <w:p w14:paraId="5FE10556">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26.医疗卫生（类）医疗保障（款）行政单位医疗（项）：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14:paraId="51AFA0AD">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27.医疗卫生（类）其他医疗卫生支出（款）其他医疗卫生支出（项）：</w:t>
      </w:r>
      <w:r>
        <w:rPr>
          <w:rFonts w:hint="eastAsia" w:ascii="仿宋_GB2312" w:eastAsia="仿宋_GB2312"/>
          <w:sz w:val="32"/>
          <w:szCs w:val="32"/>
        </w:rPr>
        <w:t>反映除上述项目以外其他用于医疗卫生方面的支出。</w:t>
      </w:r>
    </w:p>
    <w:p w14:paraId="24388321">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28.节能环保支出（类）污染防治（款）水体（项）：</w:t>
      </w:r>
      <w:r>
        <w:rPr>
          <w:rFonts w:hint="eastAsia" w:ascii="仿宋_GB2312" w:eastAsia="仿宋_GB2312"/>
          <w:sz w:val="32"/>
          <w:szCs w:val="32"/>
        </w:rPr>
        <w:t>反映政府在排水、污水处理、水污染防治、湖库生态环境保护、水源地保护、国土江河综合整治、河流治理与保护、地下水修复与保护等方面的支出。</w:t>
      </w:r>
    </w:p>
    <w:p w14:paraId="62CFCB9F">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29.农林水事务（类）农业（款）其他农业支出（项）：</w:t>
      </w:r>
      <w:r>
        <w:rPr>
          <w:rFonts w:hint="eastAsia" w:ascii="仿宋_GB2312" w:eastAsia="仿宋_GB2312"/>
          <w:sz w:val="32"/>
          <w:szCs w:val="32"/>
        </w:rPr>
        <w:t>反映其他用于农业方面的支出。</w:t>
      </w:r>
    </w:p>
    <w:p w14:paraId="3ECDF1D0">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30.交通运输（类）石油价格改革对交通运输的补贴（款）石油价格改革补贴其他支出（项）：</w:t>
      </w:r>
      <w:r>
        <w:rPr>
          <w:rFonts w:hint="eastAsia" w:ascii="仿宋_GB2312" w:eastAsia="仿宋_GB2312"/>
          <w:sz w:val="32"/>
          <w:szCs w:val="32"/>
        </w:rPr>
        <w:t>反映石油价格改革财政补贴对其他方面的支出。</w:t>
      </w:r>
    </w:p>
    <w:p w14:paraId="6766AF12">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31.资源勘探信息等支出（类）工业和信息产业监管支出（款）其他工业和信息产业监管支出（项）：</w:t>
      </w:r>
      <w:r>
        <w:rPr>
          <w:rFonts w:hint="eastAsia" w:ascii="仿宋_GB2312" w:eastAsia="仿宋_GB2312"/>
          <w:sz w:val="32"/>
          <w:szCs w:val="32"/>
        </w:rPr>
        <w:t>反映其他用于工业和信息产业监管方面的支出。</w:t>
      </w:r>
    </w:p>
    <w:p w14:paraId="577CB558">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32.资源勘探信息等支出（类）其他资源勘探电力信息等支出（款）建设项目贷款贴息（项）：</w:t>
      </w:r>
      <w:r>
        <w:rPr>
          <w:rFonts w:hint="eastAsia" w:ascii="仿宋_GB2312" w:eastAsia="仿宋_GB2312"/>
          <w:sz w:val="32"/>
          <w:szCs w:val="32"/>
        </w:rPr>
        <w:t>反映根据国家规定用于特定建设项目及国家级高新技术开发区、中西部经济技术开发区建设项目设施贷款的财政贴息支出。</w:t>
      </w:r>
    </w:p>
    <w:p w14:paraId="3258EE83">
      <w:pPr>
        <w:spacing w:line="540" w:lineRule="exact"/>
        <w:ind w:firstLine="643" w:firstLineChars="200"/>
        <w:jc w:val="left"/>
        <w:rPr>
          <w:rFonts w:ascii="仿宋_GB2312" w:eastAsia="仿宋_GB2312"/>
          <w:sz w:val="32"/>
          <w:szCs w:val="32"/>
        </w:rPr>
      </w:pPr>
      <w:r>
        <w:rPr>
          <w:rFonts w:hint="eastAsia" w:ascii="仿宋_GB2312" w:eastAsia="仿宋_GB2312"/>
          <w:b/>
          <w:sz w:val="32"/>
          <w:szCs w:val="32"/>
        </w:rPr>
        <w:t>33. 国土资源气象等支出（类）国土资源事务（款）其他国土资源事务支出（项）：</w:t>
      </w:r>
      <w:r>
        <w:rPr>
          <w:rFonts w:hint="eastAsia" w:ascii="仿宋_GB2312" w:eastAsia="仿宋_GB2312"/>
          <w:sz w:val="32"/>
          <w:szCs w:val="32"/>
        </w:rPr>
        <w:t>反映其他用于国土资源事务方面的支出。</w:t>
      </w:r>
    </w:p>
    <w:p w14:paraId="2A2F681D">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34.住房保障（类）住房改革（款）住房公积金（项）：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72B36EE9">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35.其他支出（类）其他支出（款）其他支出（项）：</w:t>
      </w:r>
      <w:r>
        <w:rPr>
          <w:rFonts w:hint="eastAsia" w:ascii="仿宋_GB2312" w:eastAsia="仿宋_GB2312"/>
          <w:sz w:val="32"/>
          <w:szCs w:val="32"/>
        </w:rPr>
        <w:t>反映其他不能划分到具体功能科目中的支出项目。</w:t>
      </w:r>
    </w:p>
    <w:p w14:paraId="1AF41A36">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36.机关运行经费：</w:t>
      </w:r>
      <w:r>
        <w:rPr>
          <w:rFonts w:hint="eastAsia" w:ascii="仿宋_GB2312" w:eastAsia="仿宋_GB2312"/>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B84E9E1">
      <w:pPr>
        <w:spacing w:line="540" w:lineRule="exact"/>
      </w:pPr>
    </w:p>
    <w:p w14:paraId="3DD17000"/>
    <w:p w14:paraId="069AC99B"/>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1418F">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1</w:t>
    </w:r>
    <w:r>
      <w:fldChar w:fldCharType="end"/>
    </w:r>
  </w:p>
  <w:p w14:paraId="382016B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DACC0">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9</w:t>
    </w:r>
    <w:r>
      <w:fldChar w:fldCharType="end"/>
    </w:r>
  </w:p>
  <w:p w14:paraId="5E9FA2F3">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91F01">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I1M2UzOThjNzZjMDY4YzRjNTBiN2I5MGU3NjE5NzEifQ=="/>
  </w:docVars>
  <w:rsids>
    <w:rsidRoot w:val="7C36562D"/>
    <w:rsid w:val="0018469E"/>
    <w:rsid w:val="001B0241"/>
    <w:rsid w:val="001C6E54"/>
    <w:rsid w:val="002278D6"/>
    <w:rsid w:val="003906CE"/>
    <w:rsid w:val="00435DEF"/>
    <w:rsid w:val="00480AE4"/>
    <w:rsid w:val="004A00E4"/>
    <w:rsid w:val="004B028F"/>
    <w:rsid w:val="00625FDA"/>
    <w:rsid w:val="00641744"/>
    <w:rsid w:val="0070194A"/>
    <w:rsid w:val="00753477"/>
    <w:rsid w:val="00760325"/>
    <w:rsid w:val="007C3FB9"/>
    <w:rsid w:val="007F03E0"/>
    <w:rsid w:val="00841937"/>
    <w:rsid w:val="00857783"/>
    <w:rsid w:val="00923FCB"/>
    <w:rsid w:val="00962E54"/>
    <w:rsid w:val="00A85662"/>
    <w:rsid w:val="00B760CC"/>
    <w:rsid w:val="00C06C5D"/>
    <w:rsid w:val="00CA5CC9"/>
    <w:rsid w:val="00D975BD"/>
    <w:rsid w:val="00E5485D"/>
    <w:rsid w:val="00F9296B"/>
    <w:rsid w:val="00FB10C4"/>
    <w:rsid w:val="00FE6B7D"/>
    <w:rsid w:val="07B83AA5"/>
    <w:rsid w:val="0A542BC0"/>
    <w:rsid w:val="49AC49EB"/>
    <w:rsid w:val="5D9B7606"/>
    <w:rsid w:val="7C3656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6048</Words>
  <Characters>6455</Characters>
  <Lines>47</Lines>
  <Paragraphs>13</Paragraphs>
  <TotalTime>1</TotalTime>
  <ScaleCrop>false</ScaleCrop>
  <LinksUpToDate>false</LinksUpToDate>
  <CharactersWithSpaces>6480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2022-09-06T04:08:00Z</dcterms:created>
  <dc:creator>雪莲花</dc:creator>
  <cp:lastModifiedBy>五福临门</cp:lastModifiedBy>
  <dcterms:modified xsi:type="dcterms:W3CDTF">2025-09-16T07:40:14Z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252F14903CD745F08B1DCA6A6626FBF4</vt:lpwstr>
  </property>
  <property fmtid="{D5CDD505-2E9C-101B-9397-08002B2CF9AE}" pid="4" name="KSOTemplateDocerSaveRecord">
    <vt:lpwstr>eyJoZGlkIjoiZGZlYjM4YWJjZDgyM2YyYzVlMGFjYmM3MjExMDE5NzciLCJ1c2VySWQiOiI4NzIzODE1MjQifQ==</vt:lpwstr>
  </property>
</Properties>
</file>