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F2F22A">
      <w:pPr>
        <w:bidi w:val="0"/>
        <w:jc w:val="center"/>
        <w:rPr>
          <w:rFonts w:hint="eastAsia"/>
          <w:b/>
          <w:bCs/>
          <w:sz w:val="44"/>
          <w:szCs w:val="44"/>
        </w:rPr>
      </w:pPr>
      <w:r>
        <w:rPr>
          <w:rFonts w:hint="eastAsia"/>
          <w:b/>
          <w:bCs/>
          <w:sz w:val="44"/>
          <w:szCs w:val="44"/>
        </w:rPr>
        <w:t>关于南芬区</w:t>
      </w:r>
      <w:r>
        <w:rPr>
          <w:rFonts w:hint="eastAsia"/>
          <w:b/>
          <w:bCs/>
          <w:sz w:val="44"/>
          <w:szCs w:val="44"/>
          <w:lang w:val="en-US" w:eastAsia="zh-CN"/>
        </w:rPr>
        <w:t>2023</w:t>
      </w:r>
      <w:r>
        <w:rPr>
          <w:rFonts w:hint="eastAsia"/>
          <w:b/>
          <w:bCs/>
          <w:sz w:val="44"/>
          <w:szCs w:val="44"/>
        </w:rPr>
        <w:t>年财政决算（草案）和</w:t>
      </w:r>
      <w:bookmarkStart w:id="0" w:name="_GoBack"/>
      <w:bookmarkEnd w:id="0"/>
    </w:p>
    <w:p w14:paraId="500FEAA5">
      <w:pPr>
        <w:bidi w:val="0"/>
        <w:jc w:val="center"/>
        <w:rPr>
          <w:rFonts w:hint="eastAsia"/>
          <w:b/>
          <w:bCs/>
          <w:sz w:val="44"/>
          <w:szCs w:val="44"/>
        </w:rPr>
      </w:pPr>
      <w:r>
        <w:rPr>
          <w:rFonts w:hint="eastAsia"/>
          <w:b/>
          <w:bCs/>
          <w:sz w:val="44"/>
          <w:szCs w:val="44"/>
          <w:lang w:val="en-US" w:eastAsia="zh-CN"/>
        </w:rPr>
        <w:t>2024</w:t>
      </w:r>
      <w:r>
        <w:rPr>
          <w:rFonts w:hint="eastAsia"/>
          <w:b/>
          <w:bCs/>
          <w:sz w:val="44"/>
          <w:szCs w:val="44"/>
        </w:rPr>
        <w:t>年上半年财政预算执行情况的报告</w:t>
      </w:r>
    </w:p>
    <w:p w14:paraId="30C89EF1">
      <w:pPr>
        <w:bidi w:val="0"/>
        <w:rPr>
          <w:rFonts w:hint="eastAsia"/>
        </w:rPr>
      </w:pPr>
    </w:p>
    <w:p w14:paraId="4911A182">
      <w:pPr>
        <w:bidi w:val="0"/>
        <w:jc w:val="center"/>
        <w:rPr>
          <w:rFonts w:hint="eastAsia" w:ascii="楷体" w:hAnsi="楷体" w:eastAsia="楷体" w:cs="楷体"/>
          <w:sz w:val="32"/>
          <w:szCs w:val="32"/>
        </w:rPr>
      </w:pPr>
      <w:r>
        <w:rPr>
          <w:rFonts w:hint="eastAsia" w:ascii="楷体" w:hAnsi="楷体" w:eastAsia="楷体" w:cs="楷体"/>
          <w:sz w:val="32"/>
          <w:szCs w:val="32"/>
        </w:rPr>
        <w:t>——20</w:t>
      </w:r>
      <w:r>
        <w:rPr>
          <w:rFonts w:hint="eastAsia" w:ascii="楷体" w:hAnsi="楷体" w:eastAsia="楷体" w:cs="楷体"/>
          <w:sz w:val="32"/>
          <w:szCs w:val="32"/>
          <w:lang w:val="en-US" w:eastAsia="zh-CN"/>
        </w:rPr>
        <w:t>24</w:t>
      </w:r>
      <w:r>
        <w:rPr>
          <w:rFonts w:hint="eastAsia" w:ascii="楷体" w:hAnsi="楷体" w:eastAsia="楷体" w:cs="楷体"/>
          <w:sz w:val="32"/>
          <w:szCs w:val="32"/>
        </w:rPr>
        <w:t>年</w:t>
      </w:r>
      <w:r>
        <w:rPr>
          <w:rFonts w:hint="eastAsia" w:ascii="楷体" w:hAnsi="楷体" w:eastAsia="楷体" w:cs="楷体"/>
          <w:sz w:val="32"/>
          <w:szCs w:val="32"/>
          <w:lang w:val="en-US" w:eastAsia="zh-CN"/>
        </w:rPr>
        <w:t>8月30</w:t>
      </w:r>
      <w:r>
        <w:rPr>
          <w:rFonts w:hint="eastAsia" w:ascii="楷体" w:hAnsi="楷体" w:eastAsia="楷体" w:cs="楷体"/>
          <w:sz w:val="32"/>
          <w:szCs w:val="32"/>
        </w:rPr>
        <w:t>日在南芬区第</w:t>
      </w:r>
      <w:r>
        <w:rPr>
          <w:rFonts w:hint="eastAsia" w:ascii="楷体" w:hAnsi="楷体" w:eastAsia="楷体" w:cs="楷体"/>
          <w:sz w:val="32"/>
          <w:szCs w:val="32"/>
          <w:lang w:eastAsia="zh-CN"/>
        </w:rPr>
        <w:t>十</w:t>
      </w:r>
      <w:r>
        <w:rPr>
          <w:rFonts w:hint="eastAsia" w:ascii="楷体" w:hAnsi="楷体" w:eastAsia="楷体" w:cs="楷体"/>
          <w:sz w:val="32"/>
          <w:szCs w:val="32"/>
        </w:rPr>
        <w:t>届</w:t>
      </w:r>
    </w:p>
    <w:p w14:paraId="6BEBAB02">
      <w:pPr>
        <w:bidi w:val="0"/>
        <w:jc w:val="center"/>
        <w:rPr>
          <w:rFonts w:hint="eastAsia" w:ascii="楷体" w:hAnsi="楷体" w:eastAsia="楷体" w:cs="楷体"/>
          <w:sz w:val="32"/>
          <w:szCs w:val="32"/>
        </w:rPr>
      </w:pPr>
      <w:r>
        <w:rPr>
          <w:rFonts w:hint="eastAsia" w:ascii="楷体" w:hAnsi="楷体" w:eastAsia="楷体" w:cs="楷体"/>
          <w:sz w:val="32"/>
          <w:szCs w:val="32"/>
        </w:rPr>
        <w:t>人大常委会第</w:t>
      </w:r>
      <w:r>
        <w:rPr>
          <w:rFonts w:hint="eastAsia" w:ascii="楷体" w:hAnsi="楷体" w:eastAsia="楷体" w:cs="楷体"/>
          <w:sz w:val="32"/>
          <w:szCs w:val="32"/>
          <w:lang w:val="en-US" w:eastAsia="zh-CN"/>
        </w:rPr>
        <w:t>二十</w:t>
      </w:r>
      <w:r>
        <w:rPr>
          <w:rFonts w:hint="eastAsia" w:ascii="楷体" w:hAnsi="楷体" w:eastAsia="楷体" w:cs="楷体"/>
          <w:sz w:val="32"/>
          <w:szCs w:val="32"/>
          <w:lang w:eastAsia="zh-CN"/>
        </w:rPr>
        <w:t>次</w:t>
      </w:r>
      <w:r>
        <w:rPr>
          <w:rFonts w:hint="eastAsia" w:ascii="楷体" w:hAnsi="楷体" w:eastAsia="楷体" w:cs="楷体"/>
          <w:sz w:val="32"/>
          <w:szCs w:val="32"/>
        </w:rPr>
        <w:t>会议上</w:t>
      </w:r>
    </w:p>
    <w:p w14:paraId="0842C73C">
      <w:pPr>
        <w:bidi w:val="0"/>
        <w:jc w:val="center"/>
        <w:rPr>
          <w:rFonts w:hint="eastAsia" w:ascii="楷体" w:hAnsi="楷体" w:eastAsia="楷体" w:cs="楷体"/>
          <w:sz w:val="32"/>
          <w:szCs w:val="32"/>
        </w:rPr>
      </w:pPr>
    </w:p>
    <w:p w14:paraId="3E801FB1">
      <w:pPr>
        <w:bidi w:val="0"/>
        <w:jc w:val="center"/>
        <w:rPr>
          <w:rFonts w:hint="eastAsia" w:ascii="楷体" w:hAnsi="楷体" w:eastAsia="楷体" w:cs="楷体"/>
          <w:sz w:val="32"/>
          <w:szCs w:val="32"/>
          <w:lang w:val="en-US"/>
        </w:rPr>
      </w:pPr>
      <w:r>
        <w:rPr>
          <w:rFonts w:hint="eastAsia" w:ascii="楷体" w:hAnsi="楷体" w:eastAsia="楷体" w:cs="楷体"/>
          <w:sz w:val="32"/>
          <w:szCs w:val="32"/>
        </w:rPr>
        <w:t xml:space="preserve">南芬区财政局   </w:t>
      </w:r>
      <w:r>
        <w:rPr>
          <w:rFonts w:hint="eastAsia" w:ascii="楷体" w:hAnsi="楷体" w:eastAsia="楷体" w:cs="楷体"/>
          <w:sz w:val="32"/>
          <w:szCs w:val="32"/>
          <w:lang w:eastAsia="zh-CN"/>
        </w:rPr>
        <w:t>李忠全</w:t>
      </w:r>
    </w:p>
    <w:p w14:paraId="4E705E79">
      <w:pPr>
        <w:bidi w:val="0"/>
        <w:rPr>
          <w:rFonts w:hint="eastAsia"/>
        </w:rPr>
      </w:pPr>
    </w:p>
    <w:p w14:paraId="3EE24D60">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仿宋" w:hAnsi="仿宋" w:eastAsia="仿宋" w:cs="仿宋"/>
          <w:sz w:val="32"/>
          <w:szCs w:val="32"/>
        </w:rPr>
      </w:pPr>
      <w:r>
        <w:rPr>
          <w:rFonts w:hint="eastAsia" w:ascii="仿宋" w:hAnsi="仿宋" w:eastAsia="仿宋" w:cs="仿宋"/>
          <w:sz w:val="32"/>
          <w:szCs w:val="32"/>
        </w:rPr>
        <w:t>尊敬的</w:t>
      </w:r>
      <w:r>
        <w:rPr>
          <w:rFonts w:hint="eastAsia" w:ascii="仿宋" w:hAnsi="仿宋" w:eastAsia="仿宋" w:cs="仿宋"/>
          <w:sz w:val="32"/>
          <w:szCs w:val="32"/>
          <w:lang w:eastAsia="zh-CN"/>
        </w:rPr>
        <w:t>学武</w:t>
      </w:r>
      <w:r>
        <w:rPr>
          <w:rFonts w:hint="eastAsia" w:ascii="仿宋" w:hAnsi="仿宋" w:eastAsia="仿宋" w:cs="仿宋"/>
          <w:sz w:val="32"/>
          <w:szCs w:val="32"/>
        </w:rPr>
        <w:t>主任、各位副主任、各位</w:t>
      </w:r>
      <w:r>
        <w:rPr>
          <w:rFonts w:hint="eastAsia" w:ascii="仿宋" w:hAnsi="仿宋" w:eastAsia="仿宋" w:cs="仿宋"/>
          <w:sz w:val="32"/>
          <w:szCs w:val="32"/>
          <w:lang w:eastAsia="zh-CN"/>
        </w:rPr>
        <w:t>委员</w:t>
      </w:r>
      <w:r>
        <w:rPr>
          <w:rFonts w:hint="eastAsia" w:ascii="仿宋" w:hAnsi="仿宋" w:eastAsia="仿宋" w:cs="仿宋"/>
          <w:sz w:val="32"/>
          <w:szCs w:val="32"/>
        </w:rPr>
        <w:t>：</w:t>
      </w:r>
    </w:p>
    <w:p w14:paraId="5E8BE1E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受区政府委托，</w:t>
      </w:r>
      <w:r>
        <w:rPr>
          <w:rFonts w:hint="eastAsia" w:ascii="仿宋" w:hAnsi="仿宋" w:eastAsia="仿宋" w:cs="仿宋"/>
          <w:sz w:val="32"/>
          <w:szCs w:val="32"/>
          <w:lang w:eastAsia="zh-CN"/>
        </w:rPr>
        <w:t>现</w:t>
      </w:r>
      <w:r>
        <w:rPr>
          <w:rFonts w:hint="eastAsia" w:ascii="仿宋" w:hAnsi="仿宋" w:eastAsia="仿宋" w:cs="仿宋"/>
          <w:sz w:val="32"/>
          <w:szCs w:val="32"/>
        </w:rPr>
        <w:t>向</w:t>
      </w:r>
      <w:r>
        <w:rPr>
          <w:rFonts w:hint="eastAsia" w:ascii="仿宋" w:hAnsi="仿宋" w:eastAsia="仿宋" w:cs="仿宋"/>
          <w:sz w:val="32"/>
          <w:szCs w:val="32"/>
          <w:lang w:eastAsia="zh-CN"/>
        </w:rPr>
        <w:t>会议</w:t>
      </w:r>
      <w:r>
        <w:rPr>
          <w:rFonts w:hint="eastAsia" w:ascii="仿宋" w:hAnsi="仿宋" w:eastAsia="仿宋" w:cs="仿宋"/>
          <w:sz w:val="32"/>
          <w:szCs w:val="32"/>
        </w:rPr>
        <w:t>作</w:t>
      </w:r>
      <w:r>
        <w:rPr>
          <w:rFonts w:hint="default" w:ascii="Times New Roman" w:hAnsi="Times New Roman" w:eastAsia="仿宋" w:cs="Times New Roman"/>
          <w:sz w:val="32"/>
          <w:szCs w:val="32"/>
          <w:lang w:val="en-US" w:eastAsia="zh-CN"/>
        </w:rPr>
        <w:t>2023</w:t>
      </w:r>
      <w:r>
        <w:rPr>
          <w:rFonts w:hint="eastAsia" w:ascii="仿宋" w:hAnsi="仿宋" w:eastAsia="仿宋" w:cs="仿宋"/>
          <w:sz w:val="32"/>
          <w:szCs w:val="32"/>
        </w:rPr>
        <w:t>年财政决算和</w:t>
      </w:r>
      <w:r>
        <w:rPr>
          <w:rFonts w:hint="default" w:ascii="Times New Roman" w:hAnsi="Times New Roman" w:eastAsia="仿宋" w:cs="Times New Roman"/>
          <w:sz w:val="32"/>
          <w:szCs w:val="32"/>
        </w:rPr>
        <w:t>2</w:t>
      </w:r>
      <w:r>
        <w:rPr>
          <w:rFonts w:hint="default" w:ascii="Times New Roman" w:hAnsi="Times New Roman" w:eastAsia="仿宋" w:cs="Times New Roman"/>
          <w:sz w:val="32"/>
          <w:szCs w:val="32"/>
          <w:lang w:val="en-US" w:eastAsia="zh-CN"/>
        </w:rPr>
        <w:t>024</w:t>
      </w:r>
      <w:r>
        <w:rPr>
          <w:rFonts w:hint="eastAsia" w:ascii="仿宋" w:hAnsi="仿宋" w:eastAsia="仿宋" w:cs="仿宋"/>
          <w:sz w:val="32"/>
          <w:szCs w:val="32"/>
        </w:rPr>
        <w:t>年上半年财政预算执行情况的报告，请予审议，并提出宝贵意见。</w:t>
      </w:r>
    </w:p>
    <w:p w14:paraId="799CDDB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w:t>
      </w:r>
      <w:r>
        <w:rPr>
          <w:rFonts w:hint="eastAsia" w:ascii="黑体" w:hAnsi="黑体" w:eastAsia="黑体" w:cs="黑体"/>
          <w:sz w:val="32"/>
          <w:szCs w:val="32"/>
          <w:lang w:val="en-US" w:eastAsia="zh-CN"/>
        </w:rPr>
        <w:t>2023</w:t>
      </w:r>
      <w:r>
        <w:rPr>
          <w:rFonts w:hint="eastAsia" w:ascii="黑体" w:hAnsi="黑体" w:eastAsia="黑体" w:cs="黑体"/>
          <w:sz w:val="32"/>
          <w:szCs w:val="32"/>
        </w:rPr>
        <w:t>年财政决算情况</w:t>
      </w:r>
    </w:p>
    <w:p w14:paraId="6599D0C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Times New Roman" w:hAnsi="Times New Roman" w:eastAsia="仿宋" w:cs="Times New Roman"/>
          <w:sz w:val="32"/>
          <w:szCs w:val="32"/>
          <w:lang w:val="en-US" w:eastAsia="zh-CN"/>
        </w:rPr>
        <w:t>2023年</w:t>
      </w:r>
      <w:r>
        <w:rPr>
          <w:rFonts w:hint="eastAsia" w:ascii="仿宋" w:hAnsi="仿宋" w:eastAsia="仿宋" w:cs="仿宋"/>
          <w:sz w:val="32"/>
          <w:szCs w:val="32"/>
        </w:rPr>
        <w:t>是全面贯彻党的二十大精神开局之年，也是三年新冠疫情防控转段后经济恢复发展的一年。</w:t>
      </w:r>
      <w:r>
        <w:rPr>
          <w:rFonts w:hint="eastAsia" w:ascii="仿宋" w:hAnsi="仿宋" w:eastAsia="仿宋" w:cs="仿宋"/>
          <w:sz w:val="32"/>
          <w:szCs w:val="32"/>
          <w:lang w:val="en-US" w:eastAsia="zh-CN"/>
        </w:rPr>
        <w:t>财政</w:t>
      </w:r>
      <w:r>
        <w:rPr>
          <w:rFonts w:hint="eastAsia" w:ascii="仿宋" w:hAnsi="仿宋" w:eastAsia="仿宋" w:cs="仿宋"/>
          <w:sz w:val="32"/>
          <w:szCs w:val="32"/>
        </w:rPr>
        <w:t>部门坚持以习近平新时代中国特色社会主义思想为指导，深入贯彻党的二十大和二十届二中全会精神，认真落实党中央、国务院决策部署，在</w:t>
      </w:r>
      <w:r>
        <w:rPr>
          <w:rFonts w:hint="eastAsia" w:ascii="仿宋" w:hAnsi="仿宋" w:eastAsia="仿宋" w:cs="仿宋"/>
          <w:sz w:val="32"/>
          <w:szCs w:val="32"/>
          <w:lang w:val="en-US" w:eastAsia="zh-CN"/>
        </w:rPr>
        <w:t>区</w:t>
      </w:r>
      <w:r>
        <w:rPr>
          <w:rFonts w:hint="eastAsia" w:ascii="仿宋" w:hAnsi="仿宋" w:eastAsia="仿宋" w:cs="仿宋"/>
          <w:sz w:val="32"/>
          <w:szCs w:val="32"/>
        </w:rPr>
        <w:t>委、</w:t>
      </w:r>
      <w:r>
        <w:rPr>
          <w:rFonts w:hint="eastAsia" w:ascii="仿宋" w:hAnsi="仿宋" w:eastAsia="仿宋" w:cs="仿宋"/>
          <w:sz w:val="32"/>
          <w:szCs w:val="32"/>
          <w:lang w:val="en-US" w:eastAsia="zh-CN"/>
        </w:rPr>
        <w:t>区</w:t>
      </w:r>
      <w:r>
        <w:rPr>
          <w:rFonts w:hint="eastAsia" w:ascii="仿宋" w:hAnsi="仿宋" w:eastAsia="仿宋" w:cs="仿宋"/>
          <w:sz w:val="32"/>
          <w:szCs w:val="32"/>
        </w:rPr>
        <w:t>政府坚强领导和</w:t>
      </w:r>
      <w:r>
        <w:rPr>
          <w:rFonts w:hint="eastAsia" w:ascii="仿宋" w:hAnsi="仿宋" w:eastAsia="仿宋" w:cs="仿宋"/>
          <w:sz w:val="32"/>
          <w:szCs w:val="32"/>
          <w:lang w:val="en-US" w:eastAsia="zh-CN"/>
        </w:rPr>
        <w:t>区</w:t>
      </w:r>
      <w:r>
        <w:rPr>
          <w:rFonts w:hint="eastAsia" w:ascii="仿宋" w:hAnsi="仿宋" w:eastAsia="仿宋" w:cs="仿宋"/>
          <w:sz w:val="32"/>
          <w:szCs w:val="32"/>
        </w:rPr>
        <w:t>人大监督指导下，着力稳增长、调结构、防风险、保民生，全</w:t>
      </w:r>
      <w:r>
        <w:rPr>
          <w:rFonts w:hint="eastAsia" w:ascii="仿宋" w:hAnsi="仿宋" w:eastAsia="仿宋" w:cs="仿宋"/>
          <w:sz w:val="32"/>
          <w:szCs w:val="32"/>
          <w:lang w:eastAsia="zh-CN"/>
        </w:rPr>
        <w:t>区</w:t>
      </w:r>
      <w:r>
        <w:rPr>
          <w:rFonts w:hint="eastAsia" w:ascii="仿宋" w:hAnsi="仿宋" w:eastAsia="仿宋" w:cs="仿宋"/>
          <w:sz w:val="32"/>
          <w:szCs w:val="32"/>
        </w:rPr>
        <w:t>经济稳中有进、进中提质，预算执行情况总体较好。</w:t>
      </w:r>
    </w:p>
    <w:p w14:paraId="7FC89B3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（一）一般公共预算收支</w:t>
      </w:r>
      <w:r>
        <w:rPr>
          <w:rFonts w:hint="eastAsia" w:ascii="楷体" w:hAnsi="楷体" w:eastAsia="楷体" w:cs="楷体"/>
          <w:sz w:val="32"/>
          <w:szCs w:val="32"/>
          <w:lang w:val="en-US" w:eastAsia="zh-CN"/>
        </w:rPr>
        <w:t>决算</w:t>
      </w:r>
      <w:r>
        <w:rPr>
          <w:rFonts w:hint="eastAsia" w:ascii="楷体" w:hAnsi="楷体" w:eastAsia="楷体" w:cs="楷体"/>
          <w:sz w:val="32"/>
          <w:szCs w:val="32"/>
        </w:rPr>
        <w:t>情况</w:t>
      </w:r>
    </w:p>
    <w:p w14:paraId="1D0E99B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一般公共预算收入情况</w:t>
      </w:r>
    </w:p>
    <w:p w14:paraId="202FB9D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2023年一般公共财政预算收入完成24843万元，同比增长57%，增加9017万元。其中：税务部门完成17904万元，同比增长28.3%，增加3948万元；财政部门完成6939万元，同比增长271.1%，增加5069万元。</w:t>
      </w:r>
    </w:p>
    <w:p w14:paraId="20F6B79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1</w:t>
      </w:r>
      <w:r>
        <w:rPr>
          <w:rFonts w:hint="eastAsia" w:ascii="仿宋" w:hAnsi="仿宋" w:eastAsia="仿宋" w:cs="仿宋"/>
          <w:sz w:val="32"/>
          <w:szCs w:val="32"/>
          <w:lang w:eastAsia="zh-CN"/>
        </w:rPr>
        <w:t>）</w:t>
      </w:r>
      <w:r>
        <w:rPr>
          <w:rFonts w:hint="eastAsia" w:ascii="仿宋" w:hAnsi="仿宋" w:eastAsia="仿宋" w:cs="仿宋"/>
          <w:sz w:val="32"/>
          <w:szCs w:val="32"/>
        </w:rPr>
        <w:t>按收入结构完成情况</w:t>
      </w:r>
    </w:p>
    <w:p w14:paraId="3DE3474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税收收入完成17514万元，为预算的110%，同比增加3904万元，增长28.7%；非税收入完成7329万元，为预算的431.1%，同比增加5113万元，增长230.7%。</w:t>
      </w:r>
    </w:p>
    <w:p w14:paraId="758F0DB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w:t>
      </w:r>
      <w:r>
        <w:rPr>
          <w:rFonts w:hint="eastAsia" w:ascii="仿宋" w:hAnsi="仿宋" w:eastAsia="仿宋" w:cs="仿宋"/>
          <w:sz w:val="32"/>
          <w:szCs w:val="32"/>
          <w:lang w:eastAsia="zh-CN"/>
        </w:rPr>
        <w:t>）</w:t>
      </w:r>
      <w:r>
        <w:rPr>
          <w:rFonts w:hint="eastAsia" w:ascii="仿宋" w:hAnsi="仿宋" w:eastAsia="仿宋" w:cs="仿宋"/>
          <w:sz w:val="32"/>
          <w:szCs w:val="32"/>
        </w:rPr>
        <w:t>按征收科目完成情况</w:t>
      </w:r>
    </w:p>
    <w:p w14:paraId="0915BF7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税收收入中：增值税完成4333万元，同比增长300.5%，增加3251万元；企业所得税完成2211万元，同比增长42.3%，增加657万元；个人所得税完成875万元，同比下降22.8%，减少259万元；资源税完成5754万元，同比下降10.8%，减少697万元；城市维护建设税完成940万元，同比增长13%，增加108万元；房产税完成343万元，同比下降3.4%，减少12万元；印花税完成273万元，同比下降11.7%，减少36万元；城镇土地使用税完成943万元，同比增长64.9%，增加371万元；土地增值税完成2万元，同比下降66.7%，减少4万元；车船使用税完成2万元，同比下降50%，减少2万元；耕地占用税完成1661万元，同比增长140%，增加969万元；契税完成162万元，同比下降72.8%，减少434万元；环境保护税完成15万元，同比下降34.8%，减少8万元。</w:t>
      </w:r>
    </w:p>
    <w:p w14:paraId="1618B88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非税收入中：专项收入完成650万元，同比下降4%，减少27万元，其中教育费附加收入390万元，同比增长12.7%，增加44万元，地方教育附加收入260万元，同比增长23.8%，增加50万元；行政事业性收费收入完成133万元，同比增长411.5%，增加107万元；罚没收入完成2050万元，同比增长131.6%，增加1165万元；国有（资源）资产有偿使用收入完成4496万元，同比增长615.9%，增加3868万元。</w:t>
      </w:r>
    </w:p>
    <w:p w14:paraId="72B0896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一般公共预算支出情况</w:t>
      </w:r>
    </w:p>
    <w:p w14:paraId="152B477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2023年一般公共预算支出完成70140万元，同比下降6.2%，减支4604万元。</w:t>
      </w:r>
    </w:p>
    <w:p w14:paraId="19AD50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主要支出项目完成情况：一般公共服务支出13605万元，同比增长6.7％；国防支出84万元，同比增长100%；公共安全支出1186万元，同比增长26.2%；教育支出4854万元，同比增长33.5%；科技支出100万元，同比下降2%；文化体育与传媒支出653万元，同比下降79.3%；社会保障和就业支出11299万元，同比增长25.2%；医疗卫生和计划生育支出4130万元，同比增长1.5%；节能环保支出1246万元，同比下降5.1%；城乡社区支出4772万元，同比下降10.4%；农林水支出6886万元，同比下降65.6%；交通运输支出5562万元，同比增长44.8%；资源勘探信息等支出3958万元，同比增长253.4%；商业服务业等支出22万元，同比下降8.3%；自然资源海洋气象等支出736万元，同比增长66.5%；住房保障支出4876万元，同比下降14.2%；灾害防治及应急管理支出645万元，同比增长104.8%；债务付息支出932万元，同比增长10.8%；债务发行费支出7万元，同比下降41.7%；其他支出4587万元，同比增长117.9%。</w:t>
      </w:r>
    </w:p>
    <w:p w14:paraId="359EACE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cs="Times New Roman"/>
          <w:sz w:val="32"/>
          <w:szCs w:val="32"/>
          <w:lang w:val="en-US" w:eastAsia="zh-CN"/>
        </w:rPr>
      </w:pPr>
      <w:r>
        <w:rPr>
          <w:rFonts w:hint="eastAsia" w:eastAsia="仿宋" w:cs="Times New Roman"/>
          <w:sz w:val="32"/>
          <w:szCs w:val="32"/>
          <w:lang w:val="en-US" w:eastAsia="zh-CN"/>
        </w:rPr>
        <w:t>“三公”经费</w:t>
      </w:r>
      <w:r>
        <w:rPr>
          <w:rFonts w:hint="eastAsia" w:ascii="Times New Roman" w:hAnsi="Times New Roman" w:eastAsia="仿宋" w:cs="Times New Roman"/>
          <w:sz w:val="32"/>
          <w:szCs w:val="32"/>
          <w:lang w:val="en-US" w:eastAsia="zh-CN"/>
        </w:rPr>
        <w:t>支出260万元，同比下降23.3%，减少79万元，主要是公务用车购置经费减少。其中：公务接待费1万元，同比下降85.7%，公务车购置经费95万元，同比下降52.7%，公务用车运行维护费164万元，同比增长25.2%。</w:t>
      </w:r>
    </w:p>
    <w:p w14:paraId="1E0D82E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财政收支平衡情况</w:t>
      </w:r>
    </w:p>
    <w:p w14:paraId="450F64D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一般公共财政预算收入24843万元，上级补助收入46499万元，上年结余6909万元，从政府性基金</w:t>
      </w:r>
      <w:r>
        <w:rPr>
          <w:rFonts w:hint="eastAsia" w:eastAsia="仿宋" w:cs="Times New Roman"/>
          <w:sz w:val="32"/>
          <w:szCs w:val="32"/>
          <w:lang w:val="en-US" w:eastAsia="zh-CN"/>
        </w:rPr>
        <w:t>调入</w:t>
      </w:r>
      <w:r>
        <w:rPr>
          <w:rFonts w:hint="eastAsia" w:ascii="Times New Roman" w:hAnsi="Times New Roman" w:eastAsia="仿宋" w:cs="Times New Roman"/>
          <w:sz w:val="32"/>
          <w:szCs w:val="32"/>
          <w:lang w:val="en-US" w:eastAsia="zh-CN"/>
        </w:rPr>
        <w:t>2472万元，从其他资金调入3000万元，地方政府一般债券转贷收入9855万元，动用预算稳定调节基金2586万元，收入总计为96164万元。</w:t>
      </w:r>
    </w:p>
    <w:p w14:paraId="43EBC51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一般公共财政预算支出70140万元，上解上级支出10834万元，地方政府一般债券还本支出5155万元，安排预算稳定调节基金7223万元，代偿债再融资一般债券结余1700万元，年终结余1112万元，支出总计96164万元。</w:t>
      </w:r>
    </w:p>
    <w:p w14:paraId="494329F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收支相抵，当年财政收支总量平衡。</w:t>
      </w:r>
    </w:p>
    <w:p w14:paraId="14338F0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（二）政府性基金收支情况</w:t>
      </w:r>
    </w:p>
    <w:p w14:paraId="319E351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2023年政府性基金预算收入完成2814万元，同比下降35.1%。其中：国有土地使用权出让收入164万元，城市基础设施配套费收入2650万元。</w:t>
      </w:r>
    </w:p>
    <w:p w14:paraId="210A4B5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政府性基金预算支出完成1967万元，同比下降43.2%。</w:t>
      </w:r>
    </w:p>
    <w:p w14:paraId="6BFDBFE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政府性基金预算收入2814元，政府性基金预算上级补助收入753万元，政府性基金预算上年结余1453万元，其他调入资金455万元，收入总计为5475万元。</w:t>
      </w:r>
    </w:p>
    <w:p w14:paraId="35FF7B2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政府性基金预算支出1967万元，上解支出1万元，调出资金2472万元，政府性基金预算年终结余1035万元，支出总计为5475万元。</w:t>
      </w:r>
    </w:p>
    <w:p w14:paraId="07DA553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收支相抵，实现收支平衡。</w:t>
      </w:r>
    </w:p>
    <w:p w14:paraId="19FE719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sz w:val="32"/>
          <w:szCs w:val="32"/>
          <w:lang w:eastAsia="zh-CN"/>
        </w:rPr>
      </w:pPr>
      <w:r>
        <w:rPr>
          <w:rFonts w:hint="eastAsia" w:ascii="楷体" w:hAnsi="楷体" w:eastAsia="楷体" w:cs="楷体"/>
          <w:sz w:val="32"/>
          <w:szCs w:val="32"/>
          <w:lang w:eastAsia="zh-CN"/>
        </w:rPr>
        <w:t>（三）社保基金情况</w:t>
      </w:r>
    </w:p>
    <w:p w14:paraId="6C8156E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2023年社会保障基金预算收入完成5955万元，其中：社会保险基金缴费收入1871万元；财政补贴收入3748万元，转移收入335万元，利息收入1万元。社会保障基金支出完成5841万元，结余114万元，实现收支平衡。</w:t>
      </w:r>
    </w:p>
    <w:p w14:paraId="1344BE0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w:t>
      </w:r>
      <w:r>
        <w:rPr>
          <w:rFonts w:hint="eastAsia" w:ascii="楷体" w:hAnsi="楷体" w:eastAsia="楷体" w:cs="楷体"/>
          <w:sz w:val="32"/>
          <w:szCs w:val="32"/>
          <w:lang w:eastAsia="zh-CN"/>
        </w:rPr>
        <w:t>四</w:t>
      </w:r>
      <w:r>
        <w:rPr>
          <w:rFonts w:hint="eastAsia" w:ascii="楷体" w:hAnsi="楷体" w:eastAsia="楷体" w:cs="楷体"/>
          <w:sz w:val="32"/>
          <w:szCs w:val="32"/>
        </w:rPr>
        <w:t>）政府性债务情况</w:t>
      </w:r>
    </w:p>
    <w:p w14:paraId="5335366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2023年底，南芬区法定债务余额为5.11亿元，政府负有担保责任的债务0.17亿元，监测平台隐性债务余额3.46亿元。本年还本付息资金均按时支付，无违约事件发生，全年还本付息总计4505.81万元，其中还本1525万元，付息2980.81万元。</w:t>
      </w:r>
    </w:p>
    <w:p w14:paraId="7F7D265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二、20</w:t>
      </w:r>
      <w:r>
        <w:rPr>
          <w:rFonts w:hint="eastAsia" w:ascii="黑体" w:hAnsi="黑体" w:eastAsia="黑体" w:cs="黑体"/>
          <w:sz w:val="32"/>
          <w:szCs w:val="32"/>
          <w:lang w:val="en-US" w:eastAsia="zh-CN"/>
        </w:rPr>
        <w:t>24</w:t>
      </w:r>
      <w:r>
        <w:rPr>
          <w:rFonts w:hint="eastAsia" w:ascii="黑体" w:hAnsi="黑体" w:eastAsia="黑体" w:cs="黑体"/>
          <w:sz w:val="32"/>
          <w:szCs w:val="32"/>
        </w:rPr>
        <w:t>年上半年财政预算执行情况</w:t>
      </w:r>
    </w:p>
    <w:p w14:paraId="74261FE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（一）一般公共预算收支执行情况</w:t>
      </w:r>
    </w:p>
    <w:p w14:paraId="69BF49C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一般公共预算收入情况</w:t>
      </w:r>
    </w:p>
    <w:p w14:paraId="7BD8AA1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 xml:space="preserve">一般公共预算收入完成14548万元，同比下降19.5%，执行进度为年初预算的53.7%。其中：税收收入完成11592万元，同比下降8.7%，执行进度为年初预算的46.3%，占一般公共预算收入比重79.7%。非税收入完成2956万元，同比下降45.1%，执行进度为年初预算的142.8%，占一般公共预算的20.3%。 </w:t>
      </w:r>
    </w:p>
    <w:p w14:paraId="210B130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 xml:space="preserve">按税种分，主要税收收入项目情况如下： </w:t>
      </w:r>
    </w:p>
    <w:p w14:paraId="74B4440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 xml:space="preserve">国内增值税3179万元，同比下降28.2%；企业所得税1370万元，同比下降0.1%；个人所得税371万元，同比下降49%；城市维护建设税490万元，同比下降9.6%；印花税268万元，同比增长114.4%；资源税4104万元，同比增长27.3%；契税97万元，同比增长5.4%；土地增值税2万元，同比增长50%；房产税498万元，同比增长162.1%；耕地占用税573万元，同比下降63.5%；城镇土地使用税631万元，同比增长52%；环境保护税7万元，同比下降12.5%；车船税2万元，与上年持平。 </w:t>
      </w:r>
    </w:p>
    <w:p w14:paraId="762FD22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非税收入主要科目情况如下：</w:t>
      </w:r>
    </w:p>
    <w:p w14:paraId="373307B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专项收入435万元，同比增长20.8%；行政事业性收费收入108万元，同比增长575%；罚没收入1374万元，同比增长37.4%；国有资源（资产）有偿使用收入1039万元，同比下降74.1%。</w:t>
      </w:r>
    </w:p>
    <w:p w14:paraId="710E401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一般公共预算支出情况</w:t>
      </w:r>
    </w:p>
    <w:p w14:paraId="5B82C85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一般公共财政预算支出35380万元，执行进度为年初预算的68.2%，比上年同期增长4.4%，增加1491万元。</w:t>
      </w:r>
    </w:p>
    <w:p w14:paraId="52AAB23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主要支出项目完成情况：</w:t>
      </w:r>
    </w:p>
    <w:p w14:paraId="21DB0C3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一般公共服务支出8650万元，同比增长2%；国防支出68万元，</w:t>
      </w:r>
      <w:r>
        <w:rPr>
          <w:rFonts w:hint="eastAsia" w:eastAsia="仿宋" w:cs="Times New Roman"/>
          <w:sz w:val="32"/>
          <w:szCs w:val="32"/>
          <w:lang w:val="en-US" w:eastAsia="zh-CN"/>
        </w:rPr>
        <w:t>同比</w:t>
      </w:r>
      <w:r>
        <w:rPr>
          <w:rFonts w:hint="eastAsia" w:ascii="Times New Roman" w:hAnsi="Times New Roman" w:eastAsia="仿宋" w:cs="Times New Roman"/>
          <w:sz w:val="32"/>
          <w:szCs w:val="32"/>
          <w:lang w:val="en-US" w:eastAsia="zh-CN"/>
        </w:rPr>
        <w:t>增长54.5%；公共安全支出596万元，同比增长22.4%；教育支出2007万元，同比下降2.3%；社会保障和就业支出5014万元，同比下降12.6%；卫生健康支出1395万元，同比下降16.1%；节能环保支出597万元，同比下降12.8%；城乡社区支出1749万元，同比下降1.5%；文化旅游体育与传媒支出261万元，同比增长91.9%；农林水支出2784万元，同比下降3.8%；交通运输支出5395万元，同比增长620.3%；资源勘探信息等支出852万元，同比下降76.8%；商业服务业等支出21万元，同比增长75%；自然资源海洋气象等支出70万元，同比下降53.9%；住房保障支出2822万元，同比增长18.1%；灾害防治及应急管理支出378万元，同比增长1.9%；其他支出2003万元，同比下降0.7%；债务付息支出637万元，同比增长15%；债务发行费用支出5万元，同比下降16.7%。</w:t>
      </w:r>
    </w:p>
    <w:p w14:paraId="1A522E6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2024年上半年“三公”经费支出79万元，同比增长19.7%，增加了13万元。其中：公务接待费无；车辆运行费79万元，同比增长21.5%</w:t>
      </w:r>
      <w:r>
        <w:rPr>
          <w:rFonts w:hint="eastAsia" w:eastAsia="仿宋" w:cs="Times New Roman"/>
          <w:sz w:val="32"/>
          <w:szCs w:val="32"/>
          <w:lang w:val="en-US" w:eastAsia="zh-CN"/>
        </w:rPr>
        <w:t>。</w:t>
      </w:r>
    </w:p>
    <w:p w14:paraId="34A821A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（二）政府性基金收支完成情况</w:t>
      </w:r>
    </w:p>
    <w:p w14:paraId="5E652B2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 xml:space="preserve">政府性基金收入441万元，执行进度为年初预算的19.2%，同比增长217.6%。其中，国有土地使用权出让收入441万元，同比增长321.1%。 </w:t>
      </w:r>
    </w:p>
    <w:p w14:paraId="4219D71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 xml:space="preserve">政府性基金支出848万元，执行进度为年初预算的15.5%。同比增长37.2%。其中，国有土地使用权出让收入相关支出435万元，同比增长69.3%。 </w:t>
      </w:r>
    </w:p>
    <w:p w14:paraId="5BCA412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sz w:val="32"/>
          <w:szCs w:val="32"/>
          <w:lang w:eastAsia="zh-CN"/>
        </w:rPr>
      </w:pPr>
      <w:r>
        <w:rPr>
          <w:rFonts w:hint="eastAsia" w:ascii="楷体" w:hAnsi="楷体" w:eastAsia="楷体" w:cs="楷体"/>
          <w:sz w:val="32"/>
          <w:szCs w:val="32"/>
          <w:lang w:eastAsia="zh-CN"/>
        </w:rPr>
        <w:t>（三）社会保障基金收支完成情况</w:t>
      </w:r>
    </w:p>
    <w:p w14:paraId="0D7509F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上半年，社会保障基金预算收入完成3050万元，其中：社会保险基金缴费收入926万元；上级社会保险基金补助323万元；本级财政补助1732万元；转移收入69万。社会保障基金支出完成2982万元。</w:t>
      </w:r>
    </w:p>
    <w:p w14:paraId="6CA4A30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sz w:val="32"/>
          <w:szCs w:val="32"/>
          <w:lang w:eastAsia="zh-CN"/>
        </w:rPr>
      </w:pPr>
      <w:r>
        <w:rPr>
          <w:rFonts w:hint="eastAsia" w:ascii="楷体" w:hAnsi="楷体" w:eastAsia="楷体" w:cs="楷体"/>
          <w:sz w:val="32"/>
          <w:szCs w:val="32"/>
          <w:lang w:eastAsia="zh-CN"/>
        </w:rPr>
        <w:t>（四）国有资本经营预算收支情况</w:t>
      </w:r>
    </w:p>
    <w:p w14:paraId="21BB009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Times New Roman" w:hAnsi="Times New Roman" w:eastAsia="仿宋" w:cs="Times New Roman"/>
          <w:sz w:val="32"/>
          <w:szCs w:val="32"/>
          <w:lang w:val="en-US" w:eastAsia="zh-CN"/>
        </w:rPr>
        <w:t>上半年，国有资本经营预算收入上级专项83.3万元</w:t>
      </w:r>
      <w:r>
        <w:rPr>
          <w:rFonts w:hint="eastAsia" w:ascii="仿宋" w:hAnsi="仿宋" w:eastAsia="仿宋" w:cs="仿宋"/>
          <w:sz w:val="32"/>
          <w:szCs w:val="32"/>
          <w:lang w:val="en-US" w:eastAsia="zh-CN"/>
        </w:rPr>
        <w:t>。</w:t>
      </w:r>
    </w:p>
    <w:p w14:paraId="2E317E8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sz w:val="32"/>
          <w:szCs w:val="32"/>
          <w:lang w:eastAsia="zh-CN"/>
        </w:rPr>
      </w:pP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五</w:t>
      </w:r>
      <w:r>
        <w:rPr>
          <w:rFonts w:hint="eastAsia" w:ascii="楷体" w:hAnsi="楷体" w:eastAsia="楷体" w:cs="楷体"/>
          <w:sz w:val="32"/>
          <w:szCs w:val="32"/>
          <w:lang w:eastAsia="zh-CN"/>
        </w:rPr>
        <w:t>）政府性债务情况</w:t>
      </w:r>
    </w:p>
    <w:p w14:paraId="671E373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目前，南芬区法定债务余额为5.61亿元，政府负有担保责任的债务0.17亿元，隐性债务余额3.42亿元。已化解债务666.24万元，其中债券本金67万元，隐性债务本金599.24万元；债务利息支出1610.07万元，本息支出共计2276.31万元。各项本息均按时偿还，无违约事件发生。</w:t>
      </w:r>
    </w:p>
    <w:p w14:paraId="745731C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六</w:t>
      </w: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2024年上半年主要工作</w:t>
      </w:r>
    </w:p>
    <w:p w14:paraId="0B9B98D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1.全力组织财政收入</w:t>
      </w:r>
    </w:p>
    <w:p w14:paraId="1A944CC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cs="Times New Roman"/>
          <w:sz w:val="32"/>
          <w:szCs w:val="32"/>
          <w:lang w:val="en-US" w:eastAsia="zh-CN"/>
        </w:rPr>
      </w:pPr>
      <w:r>
        <w:rPr>
          <w:rFonts w:hint="eastAsia" w:ascii="仿宋" w:hAnsi="仿宋" w:eastAsia="仿宋" w:cs="仿宋"/>
          <w:sz w:val="32"/>
          <w:szCs w:val="32"/>
          <w:lang w:val="en-US" w:eastAsia="zh-CN"/>
        </w:rPr>
        <w:t>一是强化财政收入征管。根据年初人大会批准的</w:t>
      </w:r>
      <w:r>
        <w:rPr>
          <w:rFonts w:hint="default" w:ascii="Times New Roman" w:hAnsi="Times New Roman" w:eastAsia="仿宋" w:cs="Times New Roman"/>
          <w:sz w:val="32"/>
          <w:szCs w:val="32"/>
          <w:lang w:val="en-US" w:eastAsia="zh-CN"/>
        </w:rPr>
        <w:t>2024</w:t>
      </w:r>
      <w:r>
        <w:rPr>
          <w:rFonts w:hint="eastAsia" w:ascii="仿宋" w:hAnsi="仿宋" w:eastAsia="仿宋" w:cs="仿宋"/>
          <w:sz w:val="32"/>
          <w:szCs w:val="32"/>
          <w:lang w:val="en-US" w:eastAsia="zh-CN"/>
        </w:rPr>
        <w:t>年财政收入目标，分解任务、积极组织收入。与税务部门积极沟通配合，加强对重点税源、重点企业的调查和分析，加大非税收入征管，规范预算外收入管理，确保财政收入及时、均衡入库。二是积极主动向上争取资金。围绕国家鼓励和扶持的关键领域，深入研究政策、吃透政策精神，抓中央预算内投资、债券、增发国债等资金机遇</w:t>
      </w:r>
      <w:r>
        <w:rPr>
          <w:rFonts w:hint="eastAsia" w:ascii="Times New Roman" w:hAnsi="Times New Roman" w:eastAsia="仿宋" w:cs="Times New Roman"/>
          <w:sz w:val="32"/>
          <w:szCs w:val="32"/>
          <w:lang w:val="en-US" w:eastAsia="zh-CN"/>
        </w:rPr>
        <w:t>，全力争取国家、省级资金政策扶持。上半年争取上级转移支付资金41488万元。三是继续盘活存量资金。落实常态化清理存量资金机制，对全区各预算单位实体账户资金进行统计，将进一步加大盘活力度，将资金统筹用于</w:t>
      </w:r>
      <w:r>
        <w:rPr>
          <w:rFonts w:hint="eastAsia" w:eastAsia="仿宋" w:cs="Times New Roman"/>
          <w:sz w:val="32"/>
          <w:szCs w:val="32"/>
          <w:lang w:val="en-US" w:eastAsia="zh-CN"/>
        </w:rPr>
        <w:t>亟须资金</w:t>
      </w:r>
      <w:r>
        <w:rPr>
          <w:rFonts w:hint="eastAsia" w:ascii="Times New Roman" w:hAnsi="Times New Roman" w:eastAsia="仿宋" w:cs="Times New Roman"/>
          <w:sz w:val="32"/>
          <w:szCs w:val="32"/>
          <w:lang w:val="en-US" w:eastAsia="zh-CN"/>
        </w:rPr>
        <w:t>支持的重点领域。</w:t>
      </w:r>
    </w:p>
    <w:p w14:paraId="34E0915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 xml:space="preserve">2.全力保障财政平稳运行 </w:t>
      </w:r>
    </w:p>
    <w:p w14:paraId="51B7826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一是保障各类“三保”支出需求。合理统筹资金分配，确保每月首先满足“三保”支出需求。上半年，“三保”支出9</w:t>
      </w:r>
      <w:r>
        <w:rPr>
          <w:rFonts w:hint="eastAsia" w:eastAsia="仿宋" w:cs="Times New Roman"/>
          <w:sz w:val="32"/>
          <w:szCs w:val="32"/>
          <w:lang w:val="en-US" w:eastAsia="zh-CN"/>
        </w:rPr>
        <w:t>226</w:t>
      </w:r>
      <w:r>
        <w:rPr>
          <w:rFonts w:hint="eastAsia" w:ascii="Times New Roman" w:hAnsi="Times New Roman" w:eastAsia="仿宋" w:cs="Times New Roman"/>
          <w:sz w:val="32"/>
          <w:szCs w:val="32"/>
          <w:lang w:val="en-US" w:eastAsia="zh-CN"/>
        </w:rPr>
        <w:t>万元。二是持续深化民生福祉，优先保障教育、就业、公益岗、退役军人、养老服务等支出，上半年共计拨付资金4675万元。</w:t>
      </w:r>
    </w:p>
    <w:p w14:paraId="602AA8E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3.切实保障社会事业发展</w:t>
      </w:r>
    </w:p>
    <w:p w14:paraId="145905E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一是加大重点项目投入，上半年各类基础设施项目投入11643万元。积极争取新增债券5000万元，专项用于支持高南线建设项目。二是切实化解债务风险。充分利用债务监测平台，对我区新增政府债务增减变动情况进行监控，强化地方政府债务限额管理，从严控制新增债务，有效遏制隐性债务增量，积极稳妥有序消化存量，全区政府债务风险总体可控。上半年还本付息支出2276.3</w:t>
      </w:r>
      <w:r>
        <w:rPr>
          <w:rFonts w:hint="eastAsia" w:eastAsia="仿宋" w:cs="Times New Roman"/>
          <w:sz w:val="32"/>
          <w:szCs w:val="32"/>
          <w:lang w:val="en-US" w:eastAsia="zh-CN"/>
        </w:rPr>
        <w:t>1</w:t>
      </w:r>
      <w:r>
        <w:rPr>
          <w:rFonts w:hint="eastAsia" w:ascii="Times New Roman" w:hAnsi="Times New Roman" w:eastAsia="仿宋" w:cs="Times New Roman"/>
          <w:sz w:val="32"/>
          <w:szCs w:val="32"/>
          <w:lang w:val="en-US" w:eastAsia="zh-CN"/>
        </w:rPr>
        <w:t>万元。</w:t>
      </w:r>
    </w:p>
    <w:p w14:paraId="6BA56A2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4.不断提升财政管理水平</w:t>
      </w:r>
    </w:p>
    <w:p w14:paraId="2148F95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是依托一体化系统，上线账户审批管理，规范了预算的实体账户审批的程序。上线指标调剂管理模块，规范了预算指标的执行。二是按时高质完成年度决算、供养人口、政府财务报告、内部控制等填报工作。三是持续深化国资国企改革，以制度建设为抓手，推动区属国企经营管理水平全面提升。</w:t>
      </w:r>
    </w:p>
    <w:p w14:paraId="5592660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5.紧紧守牢财政风险底线</w:t>
      </w:r>
    </w:p>
    <w:p w14:paraId="4120816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一是充分发挥财政职能，强化财经纪律约束，扎实推进   监督专项行动工作。二是有效管控财政风险。坚持“三保”支出在财政支出中的优先地位，兜牢“三保”底线，不留硬缺口。三是强化财政国库资金管理，确保库款运行安全稳定，加强动态监控，财政库款保障水平控制在合理区间，全力保障财政经济平稳运行。四是严守债务风险底线。按时还本付息。</w:t>
      </w:r>
    </w:p>
    <w:p w14:paraId="6F79AB4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三、2024年下半年工作情况</w:t>
      </w:r>
    </w:p>
    <w:p w14:paraId="0DA96E7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Times New Roman" w:hAnsi="Times New Roman" w:eastAsia="仿宋" w:cs="Times New Roman"/>
          <w:sz w:val="32"/>
          <w:szCs w:val="32"/>
          <w:lang w:val="en-US" w:eastAsia="zh-CN"/>
        </w:rPr>
        <w:t>2024年经济运行持续回升向好，财政收入呈稳中向好态势，但“三保”和</w:t>
      </w:r>
      <w:r>
        <w:rPr>
          <w:rFonts w:hint="eastAsia" w:ascii="仿宋" w:hAnsi="仿宋" w:eastAsia="仿宋" w:cs="仿宋"/>
          <w:sz w:val="32"/>
          <w:szCs w:val="32"/>
        </w:rPr>
        <w:t>债务还本付息等刚性重点支出仍持续攀升，收支紧平衡态势将更加凸显。我们将始终坚定信心，保持清醒头脑，做好思想和工作上的准备，坚定不移做好自己的事情，</w:t>
      </w:r>
      <w:r>
        <w:rPr>
          <w:rFonts w:hint="eastAsia" w:ascii="仿宋" w:hAnsi="仿宋" w:eastAsia="仿宋" w:cs="仿宋"/>
          <w:sz w:val="32"/>
          <w:szCs w:val="32"/>
          <w:lang w:eastAsia="zh-CN"/>
        </w:rPr>
        <w:t>更好地服务</w:t>
      </w:r>
      <w:r>
        <w:rPr>
          <w:rFonts w:hint="eastAsia" w:ascii="仿宋" w:hAnsi="仿宋" w:eastAsia="仿宋" w:cs="仿宋"/>
          <w:sz w:val="32"/>
          <w:szCs w:val="32"/>
        </w:rPr>
        <w:t>全</w:t>
      </w:r>
      <w:r>
        <w:rPr>
          <w:rFonts w:hint="eastAsia" w:ascii="仿宋" w:hAnsi="仿宋" w:eastAsia="仿宋" w:cs="仿宋"/>
          <w:sz w:val="32"/>
          <w:szCs w:val="32"/>
          <w:lang w:val="en-US" w:eastAsia="zh-CN"/>
        </w:rPr>
        <w:t>区</w:t>
      </w:r>
      <w:r>
        <w:rPr>
          <w:rFonts w:hint="eastAsia" w:ascii="仿宋" w:hAnsi="仿宋" w:eastAsia="仿宋" w:cs="仿宋"/>
          <w:sz w:val="32"/>
          <w:szCs w:val="32"/>
        </w:rPr>
        <w:t>经济社会高质量发展。</w:t>
      </w:r>
    </w:p>
    <w:p w14:paraId="0A30A1E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持续挖潜增收，培育壮大综合实力。一是全力以赴组织财政收入。强化财税部门工作联动，加强收入分析和调度，密切关注经济发展形势，掌握重点行业、重点税源、重点项目情况。深入挖掘税源潜力，积极培育新的增长点，大力推进招商引资，壮大我区可用财力。二是抢抓政策资金机遇，加大政策对接和争取力度，确保第一时间掌握上级政策变化和项目申报方向，全力争取更多资金和项目落地。三是继续盘活财政存量资金。加大政府资金资源统筹，完善部门结余资金收回使用机制，对结余结转一年以上或不需要实施的项目财政存量资金，以及部门实体账户资金等，将按照相关要求收回统筹用于全区经济社会发展亟须资金支持的重点领域和重大项目。</w:t>
      </w:r>
    </w:p>
    <w:p w14:paraId="17A6987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优化支出结构，发挥资金使用效益。一是落实过“紧日子”要求。严格执行各项经费开支标准，厉行节约，进一步压缩一般性支出，降低行政运行成本，严禁超预算或者无预算安排支出。二是强化财政预算约束。从严从紧控制预算追加，部门经费在部门预算执行完毕前，原则上一律不予追加；从严压减非刚性、非重点项目支出，按轻重缓急统筹安排建设项目，能缓建的暂缓实施；审慎开展新增项目建设，对于年初预算未纳入资金计划的建设项目、没有落实资金来源的项目，原则上不予安排。三是切实保障重点支出。积极发挥财政资金的导向作用，集中财力优先保障“三保”支出、省市重点考核项目支出、区委区政府重大决策支出，确保财政资金用在全区经济社会发展的重要领域、关键环节。</w:t>
      </w:r>
    </w:p>
    <w:p w14:paraId="004BCE9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树立底线思维，防范化解财政风险。一是切实防范“三保”风险，提高财政保障水平，兜紧兜牢“三保”底线，严防财政运行风险。二是加强政府债务管理。规范举债行为，杜绝新增政府隐性债务，积极稳妥化解存量债务，确保政府债券资金使用高效、风险总体可控。</w:t>
      </w:r>
    </w:p>
    <w:p w14:paraId="4AEB20E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（四）深化国资国企改革。继续狠抓落实，开展区属企业重组清退；加大盘活资产力度，做优企业国有资本；加强企业党的领导，强化党建引领作用。</w:t>
      </w:r>
    </w:p>
    <w:p w14:paraId="5445159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（五）强化预算执行，合理规划财政支出。不断强化预算对执行的控制，部门预算经人大批准、财政下达后，不得随意调整和追加，以明确管理职责，提高执行效率。精细编制2025年预算。</w:t>
      </w:r>
    </w:p>
    <w:p w14:paraId="07278C3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cs="Times New Roman"/>
          <w:sz w:val="32"/>
          <w:szCs w:val="32"/>
          <w:lang w:val="en-US" w:eastAsia="zh-CN"/>
        </w:rPr>
      </w:pPr>
      <w:r>
        <w:rPr>
          <w:rFonts w:hint="eastAsia" w:ascii="仿宋" w:hAnsi="仿宋" w:eastAsia="仿宋" w:cs="仿宋"/>
          <w:sz w:val="32"/>
          <w:szCs w:val="32"/>
          <w:lang w:val="en-US" w:eastAsia="zh-CN"/>
        </w:rPr>
        <w:t>各位代表，坐而言不如起而行，路虽远，行则将</w:t>
      </w:r>
      <w:r>
        <w:rPr>
          <w:rFonts w:hint="eastAsia" w:ascii="Times New Roman" w:hAnsi="Times New Roman" w:eastAsia="仿宋" w:cs="Times New Roman"/>
          <w:sz w:val="32"/>
          <w:szCs w:val="32"/>
          <w:lang w:val="en-US" w:eastAsia="zh-CN"/>
        </w:rPr>
        <w:t>至。2024年注定会是不平凡的一年，我们将在区委、区政府的坚强领导下，在区人大的监督指导下，坚持以政领财，以财辅政，在推动我区经济发展、维护社会和谐稳定的征程上，笃行致远、砥砺前行，贡献财政力量！</w:t>
      </w:r>
    </w:p>
    <w:sectPr>
      <w:footerReference r:id="rId3" w:type="default"/>
      <w:pgSz w:w="11906" w:h="16838"/>
      <w:pgMar w:top="2098" w:right="1531" w:bottom="1984"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Arial Unicode MS">
    <w:altName w:val="宋体"/>
    <w:panose1 w:val="020B0604020202020204"/>
    <w:charset w:val="86"/>
    <w:family w:val="auto"/>
    <w:pitch w:val="default"/>
    <w:sig w:usb0="00000000" w:usb1="00000000" w:usb2="0000003F" w:usb3="00000000" w:csb0="603F01FF" w:csb1="FFFF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CEA85">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D82969">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8D82969">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UzYjRhNjIwOTA5MWYzOTM1MmI0N2EyMjI2YWQyMTYifQ=="/>
    <w:docVar w:name="KSO_WPS_MARK_KEY" w:val="9fc29380-351a-4db4-88ee-44d42b148a1a"/>
  </w:docVars>
  <w:rsids>
    <w:rsidRoot w:val="18387AD3"/>
    <w:rsid w:val="0EB61863"/>
    <w:rsid w:val="0F594689"/>
    <w:rsid w:val="10961BF4"/>
    <w:rsid w:val="171E071A"/>
    <w:rsid w:val="18387AD3"/>
    <w:rsid w:val="18465066"/>
    <w:rsid w:val="1EC009B7"/>
    <w:rsid w:val="23D700A4"/>
    <w:rsid w:val="24203D7C"/>
    <w:rsid w:val="24403244"/>
    <w:rsid w:val="28FF784F"/>
    <w:rsid w:val="2AF47F68"/>
    <w:rsid w:val="311E43AA"/>
    <w:rsid w:val="31315DFB"/>
    <w:rsid w:val="3F2F4761"/>
    <w:rsid w:val="409260D0"/>
    <w:rsid w:val="46F5221E"/>
    <w:rsid w:val="497A16E3"/>
    <w:rsid w:val="532263B9"/>
    <w:rsid w:val="54E86722"/>
    <w:rsid w:val="581D12EB"/>
    <w:rsid w:val="59E57A50"/>
    <w:rsid w:val="5B9173E2"/>
    <w:rsid w:val="61495AC7"/>
    <w:rsid w:val="62653C8C"/>
    <w:rsid w:val="64C37734"/>
    <w:rsid w:val="65540FAD"/>
    <w:rsid w:val="678C7D6C"/>
    <w:rsid w:val="68715612"/>
    <w:rsid w:val="6EBA01A8"/>
    <w:rsid w:val="743774E1"/>
    <w:rsid w:val="76F4268C"/>
    <w:rsid w:val="782C0BA7"/>
    <w:rsid w:val="7FD043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pPr>
  </w:style>
  <w:style w:type="paragraph" w:styleId="3">
    <w:name w:val="Body Text Indent"/>
    <w:basedOn w:val="1"/>
    <w:next w:val="2"/>
    <w:autoRedefine/>
    <w:qFormat/>
    <w:uiPriority w:val="0"/>
    <w:pPr>
      <w:ind w:firstLine="768" w:firstLineChars="240"/>
    </w:pPr>
    <w:rPr>
      <w:rFonts w:hint="eastAsia" w:ascii="楷体_GB2312" w:eastAsia="楷体_GB2312"/>
      <w:bCs/>
    </w:r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autoRedefine/>
    <w:qFormat/>
    <w:uiPriority w:val="0"/>
    <w:pPr>
      <w:widowControl/>
      <w:spacing w:before="100" w:beforeAutospacing="1" w:after="100" w:afterAutospacing="1"/>
      <w:jc w:val="left"/>
    </w:pPr>
    <w:rPr>
      <w:rFonts w:ascii="Arial Unicode MS" w:hAnsi="Arial Unicode MS" w:eastAsia="Arial Unicode MS" w:cs="Arial Unicode MS"/>
      <w:kern w:val="0"/>
      <w:sz w:val="24"/>
    </w:rPr>
  </w:style>
  <w:style w:type="paragraph" w:styleId="7">
    <w:name w:val="Body Text First Indent 2"/>
    <w:basedOn w:val="3"/>
    <w:next w:val="1"/>
    <w:autoRedefine/>
    <w:qFormat/>
    <w:uiPriority w:val="0"/>
    <w:pPr>
      <w:ind w:firstLine="420" w:firstLineChars="200"/>
    </w:pPr>
  </w:style>
  <w:style w:type="character" w:styleId="10">
    <w:name w:val="Strong"/>
    <w:basedOn w:val="9"/>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5348</Words>
  <Characters>6280</Characters>
  <Lines>0</Lines>
  <Paragraphs>0</Paragraphs>
  <TotalTime>20</TotalTime>
  <ScaleCrop>false</ScaleCrop>
  <LinksUpToDate>false</LinksUpToDate>
  <CharactersWithSpaces>6292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2022-07-08T02:35:00Z</dcterms:created>
  <dc:creator> Mrs.Y~° </dc:creator>
  <cp:lastModifiedBy>五福临门</cp:lastModifiedBy>
  <cp:lastPrinted>2024-07-02T02:11:00Z</cp:lastPrinted>
  <dcterms:modified xsi:type="dcterms:W3CDTF">2025-09-16T07:59:46Z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6F0FA532F678449C9904D05F8A91A869_13</vt:lpwstr>
  </property>
  <property fmtid="{D5CDD505-2E9C-101B-9397-08002B2CF9AE}" pid="4" name="KSOTemplateDocerSaveRecord">
    <vt:lpwstr>eyJoZGlkIjoiZGZlYjM4YWJjZDgyM2YyYzVlMGFjYmM3MjExMDE5NzciLCJ1c2VySWQiOiI4NzIzODE1MjQifQ==</vt:lpwstr>
  </property>
</Properties>
</file>