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7570A">
      <w:pPr>
        <w:widowControl w:val="0"/>
        <w:wordWrap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bookmarkStart w:id="1" w:name="_GoBack"/>
      <w:bookmarkEnd w:id="1"/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关于南芬区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2021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年财政决算（草案）和</w:t>
      </w:r>
    </w:p>
    <w:p w14:paraId="0FC7FB8B">
      <w:pPr>
        <w:widowControl w:val="0"/>
        <w:wordWrap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2022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年上半年财政预算执行情况的报告</w:t>
      </w:r>
    </w:p>
    <w:p w14:paraId="3F89C565">
      <w:pPr>
        <w:widowControl w:val="0"/>
        <w:wordWrap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 w14:paraId="5FC637D2">
      <w:pPr>
        <w:widowControl w:val="0"/>
        <w:wordWrap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楷体" w:cs="Times New Roman"/>
          <w:sz w:val="32"/>
          <w:szCs w:val="32"/>
        </w:rPr>
      </w:pPr>
      <w:r>
        <w:rPr>
          <w:rFonts w:hint="default" w:ascii="Times New Roman" w:hAnsi="Times New Roman" w:eastAsia="楷体" w:cs="Times New Roman"/>
          <w:sz w:val="32"/>
          <w:szCs w:val="32"/>
        </w:rPr>
        <w:t>——20</w:t>
      </w: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楷体" w:cs="Times New Roman"/>
          <w:sz w:val="32"/>
          <w:szCs w:val="32"/>
        </w:rPr>
        <w:t>年</w:t>
      </w: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楷体" w:cs="Times New Roman"/>
          <w:sz w:val="32"/>
          <w:szCs w:val="32"/>
        </w:rPr>
        <w:t>月</w:t>
      </w: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17</w:t>
      </w:r>
      <w:r>
        <w:rPr>
          <w:rFonts w:hint="default" w:ascii="Times New Roman" w:hAnsi="Times New Roman" w:eastAsia="楷体" w:cs="Times New Roman"/>
          <w:sz w:val="32"/>
          <w:szCs w:val="32"/>
        </w:rPr>
        <w:t>日在南芬区第</w:t>
      </w:r>
      <w:r>
        <w:rPr>
          <w:rFonts w:hint="default" w:ascii="Times New Roman" w:hAnsi="Times New Roman" w:eastAsia="楷体" w:cs="Times New Roman"/>
          <w:sz w:val="32"/>
          <w:szCs w:val="32"/>
          <w:lang w:eastAsia="zh-CN"/>
        </w:rPr>
        <w:t>十</w:t>
      </w:r>
      <w:r>
        <w:rPr>
          <w:rFonts w:hint="default" w:ascii="Times New Roman" w:hAnsi="Times New Roman" w:eastAsia="楷体" w:cs="Times New Roman"/>
          <w:sz w:val="32"/>
          <w:szCs w:val="32"/>
        </w:rPr>
        <w:t>届</w:t>
      </w:r>
    </w:p>
    <w:p w14:paraId="37152F87">
      <w:pPr>
        <w:widowControl w:val="0"/>
        <w:wordWrap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楷体" w:cs="Times New Roman"/>
          <w:sz w:val="32"/>
          <w:szCs w:val="32"/>
        </w:rPr>
      </w:pPr>
      <w:r>
        <w:rPr>
          <w:rFonts w:hint="default" w:ascii="Times New Roman" w:hAnsi="Times New Roman" w:eastAsia="楷体" w:cs="Times New Roman"/>
          <w:sz w:val="32"/>
          <w:szCs w:val="32"/>
        </w:rPr>
        <w:t>人大常委会第</w:t>
      </w: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楷体" w:cs="Times New Roman"/>
          <w:sz w:val="32"/>
          <w:szCs w:val="32"/>
          <w:lang w:eastAsia="zh-CN"/>
        </w:rPr>
        <w:t>次</w:t>
      </w:r>
      <w:r>
        <w:rPr>
          <w:rFonts w:hint="default" w:ascii="Times New Roman" w:hAnsi="Times New Roman" w:eastAsia="楷体" w:cs="Times New Roman"/>
          <w:sz w:val="32"/>
          <w:szCs w:val="32"/>
        </w:rPr>
        <w:t>会议上</w:t>
      </w:r>
    </w:p>
    <w:p w14:paraId="1F1FDF88">
      <w:pPr>
        <w:widowControl w:val="0"/>
        <w:wordWrap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楷体" w:cs="Times New Roman"/>
          <w:sz w:val="32"/>
          <w:szCs w:val="32"/>
        </w:rPr>
      </w:pPr>
    </w:p>
    <w:p w14:paraId="7F0F7E0D">
      <w:pPr>
        <w:widowControl w:val="0"/>
        <w:wordWrap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楷体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楷体" w:cs="Times New Roman"/>
          <w:sz w:val="32"/>
          <w:szCs w:val="32"/>
        </w:rPr>
        <w:t>区财政局</w:t>
      </w:r>
      <w:r>
        <w:rPr>
          <w:rFonts w:hint="eastAsia" w:ascii="Times New Roman" w:hAnsi="Times New Roman" w:eastAsia="楷体" w:cs="Times New Roman"/>
          <w:sz w:val="32"/>
          <w:szCs w:val="32"/>
          <w:lang w:val="en-US" w:eastAsia="zh-CN"/>
        </w:rPr>
        <w:t>局长</w:t>
      </w:r>
      <w:r>
        <w:rPr>
          <w:rFonts w:hint="default" w:ascii="Times New Roman" w:hAnsi="Times New Roman" w:eastAsia="楷体" w:cs="Times New Roman"/>
          <w:sz w:val="32"/>
          <w:szCs w:val="32"/>
        </w:rPr>
        <w:t xml:space="preserve">   </w:t>
      </w:r>
      <w:r>
        <w:rPr>
          <w:rFonts w:hint="default" w:ascii="Times New Roman" w:hAnsi="Times New Roman" w:eastAsia="楷体" w:cs="Times New Roman"/>
          <w:sz w:val="32"/>
          <w:szCs w:val="32"/>
          <w:lang w:eastAsia="zh-CN"/>
        </w:rPr>
        <w:t>李忠全</w:t>
      </w:r>
    </w:p>
    <w:p w14:paraId="1D5D71BA">
      <w:pPr>
        <w:widowControl w:val="0"/>
        <w:wordWrap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</w:rPr>
      </w:pPr>
    </w:p>
    <w:p w14:paraId="7FE4EB2A">
      <w:pPr>
        <w:widowControl w:val="0"/>
        <w:wordWrap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尊敬的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学武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主任、各位副主任、各位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委员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</w:p>
    <w:p w14:paraId="03055273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受区政府委托，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向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会议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年财政决算和2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022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年上半年财政预算执行情况的报告，请予审议，并提出宝贵意见。</w:t>
      </w:r>
    </w:p>
    <w:p w14:paraId="135AA9B2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黑体" w:cs="Times New Roman"/>
          <w:sz w:val="32"/>
          <w:szCs w:val="32"/>
        </w:rPr>
        <w:t>年财政决算情况</w:t>
      </w:r>
    </w:p>
    <w:p w14:paraId="55BBD317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2021年是极不平凡的一年，面对复杂多变的宏观经济形势，面对疫情常态化防控形势，以及改革和发展中不断出现的各种困难和矛盾，在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委、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政府的坚强领导下，我们财政系统的全体干部职工以赤诚和汗水，以辛勤和智慧，解放思想，克难奋进，顽强拼搏，努力工作，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较好地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完成了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委、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政府和上级财政部门交给的各项工作任务。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</w:p>
    <w:p w14:paraId="22FF660C">
      <w:pPr>
        <w:widowControl w:val="0"/>
        <w:wordWrap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（一）一般公共预算收支情况</w:t>
      </w:r>
    </w:p>
    <w:p w14:paraId="07F1E176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一般公共预算收入情况：</w:t>
      </w:r>
    </w:p>
    <w:p w14:paraId="4A479790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年一般公共财政预算收入完成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27607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下降12.4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减少3896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万元。其中：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税务部门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23934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下降3.8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减少948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万元；财政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部门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3673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下降44.5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减少2948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2B1A6F87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按收入结构完成情况：</w:t>
      </w:r>
    </w:p>
    <w:p w14:paraId="31FE2236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税收收入完成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23467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，为预算的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104.8%，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减少1022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下降4.2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非税收入完成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4140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万元，为预算的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116.6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%，同比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减少2874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下降41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%。</w:t>
      </w:r>
    </w:p>
    <w:p w14:paraId="564F7CA7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按征收科目完成情况：</w:t>
      </w:r>
    </w:p>
    <w:p w14:paraId="53A52DF4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税收收入中：增值税完成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6506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企业所得税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1841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下降21.5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减少505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万元；个人所得税完成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3445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同比增长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%，增加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1781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资源税完成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6035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39.4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1706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万元；城市维护建设税完成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1102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184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万元；房产税完成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278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下降22.6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减少81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万元；印花税完成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29.1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万元；城镇土地使用税完成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588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下降55.9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减少745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万元；土地增值税完成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车船使用税完成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下降33.3%，减少1万元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；耕地占用税完成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952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下降85.2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减少5490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万元；契税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2481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408.4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1993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；环境保护税完成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25万元，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下降21.9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减少7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620761AB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非税收入中：专项收入完成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771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增长22.6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增加142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，其中教育费附加收入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467万元，同比增长18.8%，增加74万元，地方教育附加收入281万元，同比增长19.1%，增加45万元；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行政事业性收费收入完成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下降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72.5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减少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111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万元；罚没收入完成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1807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下降17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减少370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万元；国有（资源）资产有偿使用收入完成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1337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下降61.2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减少2111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；其他收入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125万元，同比下降79.4%，减少482万元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08106763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一般公共预算支出情况</w:t>
      </w:r>
    </w:p>
    <w:p w14:paraId="6917777B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年一般公共财政预算支出完成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66490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19.9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11021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4231803D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主要支出项目完成情况：一般公共服务支出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17636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％；公共安全支出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2272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同比增长198.6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%；教育支出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3183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同比下降30.1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%；文化体育与传媒支出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3308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同比增长1261.3%；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社会保障和就业支出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7625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同比下降8.9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%；医疗卫生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和计划生育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2544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下降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7.9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节能环保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2223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同比下降60.7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城乡社区支出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5809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49.3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农林水支出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8303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36.9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%；交通运输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2572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同比增长47.6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资源勘探信息等支出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4624万元，同比增长480.9%；国土海洋气象等支出239万元，同比增长20.1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住房保障支出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4690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同比下降7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；灾害防治及应急管理支出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69万元，同比下降64.2%；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债务付息支出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785万元，同比增长10.6%；债务发行费支出1万元，同比下降85.7%；其他支出506万元，同比下降80.7%。</w:t>
      </w:r>
    </w:p>
    <w:p w14:paraId="5EAD8B2F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eastAsia="仿宋_GB2312" w:cs="Times New Roman"/>
          <w:sz w:val="32"/>
          <w:szCs w:val="32"/>
          <w:lang w:eastAsia="zh-CN"/>
        </w:rPr>
        <w:t>“三公”经费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262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eastAsia" w:eastAsia="仿宋_GB2312" w:cs="Times New Roman"/>
          <w:sz w:val="32"/>
          <w:szCs w:val="32"/>
          <w:lang w:eastAsia="zh-CN"/>
        </w:rPr>
        <w:t>增长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37.9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eastAsia" w:eastAsia="仿宋_GB2312" w:cs="Times New Roman"/>
          <w:sz w:val="32"/>
          <w:szCs w:val="32"/>
          <w:lang w:eastAsia="zh-CN"/>
        </w:rPr>
        <w:t>增加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72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万元。其中：公务接待费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180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公务用车运行维护费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万元，下降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eastAsia" w:eastAsia="仿宋_GB2312" w:cs="Times New Roman"/>
          <w:sz w:val="32"/>
          <w:szCs w:val="32"/>
          <w:lang w:eastAsia="zh-CN"/>
        </w:rPr>
        <w:t>；公务用车购置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117万元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03CB9278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财政收支平衡情况</w:t>
      </w:r>
    </w:p>
    <w:p w14:paraId="31F5D750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一般公共财政预算收入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27607万元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上级补助收入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50615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万元，上年结余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2924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从政府性基金调入9180万元，地方政府一般债券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转贷收入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1669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动用预算稳定调节基金2824万元，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收入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计为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94819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53B258A5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一般公共财政预算支出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66490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万元，上解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上级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13060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地方政府一般债券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还本支出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1669万元，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年终结余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13600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万元，支出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总计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94819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77B5FED4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收支相抵，当年财政收支总量平衡。</w:t>
      </w:r>
    </w:p>
    <w:p w14:paraId="4DDC21A7">
      <w:pPr>
        <w:widowControl w:val="0"/>
        <w:wordWrap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（二）政府性基金收支情况</w:t>
      </w:r>
    </w:p>
    <w:p w14:paraId="42CF72B3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年政府性基金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预算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收入完成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66003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增长1664.3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%。其中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国有土地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使用权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出让收入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65403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万元，城市基础设施配套费收入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600万元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271F1DE6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政府性基金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预算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支出完成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52198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170.9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%。</w:t>
      </w:r>
    </w:p>
    <w:p w14:paraId="49086279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政府性基金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预算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收入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66003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万元，地方政府专项债务转贷收入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4000万元，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政府性基金预算上级补助收入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435万元，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政府性基金预算上年结余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-7110万元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其他调入资金315万元，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收入总计为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63643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CCDD2F2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政府性基金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预算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52198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调出资金9180万元，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政府性基金预算年终结余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2265万元，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支出总计为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63643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元。</w:t>
      </w:r>
    </w:p>
    <w:p w14:paraId="6CFAC2BE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收支相抵，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实现收支平衡。</w:t>
      </w:r>
    </w:p>
    <w:p w14:paraId="4476E4FE">
      <w:pPr>
        <w:widowControl w:val="0"/>
        <w:wordWrap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（三）社保基金情况</w:t>
      </w:r>
    </w:p>
    <w:p w14:paraId="24AA2055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年社会保障基金预算收入完成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5441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万元，其中：社会保险基金缴费收入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1823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万元；财政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补贴收入3384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转移收入228万元，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其他收入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。社会保障基金支出完成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5441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万元，实现收支平衡。</w:t>
      </w:r>
    </w:p>
    <w:p w14:paraId="23E2333C">
      <w:pPr>
        <w:widowControl w:val="0"/>
        <w:wordWrap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四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）政府性债务情况</w:t>
      </w:r>
    </w:p>
    <w:p w14:paraId="0B703F25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2021年底，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南芬区政府性债务余额为8.37亿元，本年还本付息资金均按时支付，无违约事件发生。全年还本付息总计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4219.44万元，其中还本1357.44万元，付息2862万元。</w:t>
      </w:r>
    </w:p>
    <w:p w14:paraId="29B97BD6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二、20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黑体" w:cs="Times New Roman"/>
          <w:sz w:val="32"/>
          <w:szCs w:val="32"/>
        </w:rPr>
        <w:t>年上半年财政预算执行情况</w:t>
      </w:r>
    </w:p>
    <w:p w14:paraId="0993973A">
      <w:pPr>
        <w:widowControl w:val="0"/>
        <w:wordWrap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（一）一般公共预算收支执行情况</w:t>
      </w:r>
    </w:p>
    <w:p w14:paraId="7D857FE7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一般公共预算收入情况</w:t>
      </w:r>
    </w:p>
    <w:p w14:paraId="0238E338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年1-6月份，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一般公共预算收入完成11188万元，扣除留抵退税因素后同比下降24.3%，按自然口径计算同比下降34.7%，执行进度为年初预算的37.0%。其中：税收收入完成9694万元，扣除留抵退税因素后同比下降19.9%，按自然口径计算同比下降32.3%，执行进度为年初预算的35.4%，占一般公共预算收入比重86.7%。非税收入完成1494万元，同比下降47.1%，执行进度为年初预算的53.4%，占一般公共预算的13.3%。 </w:t>
      </w:r>
    </w:p>
    <w:p w14:paraId="5C5CE261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按税种分，主要税收收入项目情况如下： </w:t>
      </w:r>
    </w:p>
    <w:p w14:paraId="0B20884B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国内增值税1676万元，扣除留抵退税因素后同比下降19.9%，按自然口径计算同比下降60.0%；企业所得税818万元，同比下降41.4%；个人所得税449万元，同比下降79.5%；城市维护建设税481万元，同比下降15.3%；印花税168万元，同比增长143.5%；资源税4410万元，同比44.8%；契税462万元， 同比下降80.5%；土地增值税5万元，与上年同期持平；房产税204万元，同比增长54.5%；耕地占用税692万元，同比增长3360%；城镇土地使用税307万元，同比下降4.1%。环境保护税19万元，同比增长35.7%；车船税3万元，同比增长50%。 </w:t>
      </w:r>
    </w:p>
    <w:p w14:paraId="03DAAEB1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非税收入主要科目情况：</w:t>
      </w:r>
    </w:p>
    <w:p w14:paraId="7BE3FE1A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专项收入438万元，同比增长13.5%；行政事业性收费收入24万元，同比增长500%；罚没收入613万元，同比下降56.4%；国有资源（资产）有偿使用收入419万元，同比下降59.1%。</w:t>
      </w:r>
    </w:p>
    <w:p w14:paraId="1E3759E9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一般公共预算支出情况</w:t>
      </w:r>
    </w:p>
    <w:p w14:paraId="69B44502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年1-6月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份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一般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公共财政预算支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43337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执行进度为年初预算的71.2%，比上年同期增长100.6%。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21733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504A690F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主要支出项目完成情况：</w:t>
      </w:r>
    </w:p>
    <w:p w14:paraId="63AF065C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一般公共服务支出6268万元，同比下降15.6%；公共安全支出455万元，同比下降60%；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教育支出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1786万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下降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28.2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科学技术支出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52万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社会保障和就业支出3939万元，同比增长3.2%；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卫生健康支出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1657万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339.5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节能环保支出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713万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7.2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城乡社区支出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2602万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30.6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文化旅游体育与传媒支出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2389万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3881.7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农林水支出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15595万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增长1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315.2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交通运输支出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2087万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342.2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源勘探信息等支出62万元，同比下降27.9%；商业服务业等支出20万元，同比增长100%；自然资源海洋气象等支出251万元，同比增长64.1%；住房保障支出3892万元，同比增长200.1%；灾害防治及应急管理支出137万元，同比增长101.5%；其他支出971万元，同比增长6373.3%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债务付息支出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449万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0.7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债务发行费用支出12万元，同比增长100%。</w:t>
      </w:r>
    </w:p>
    <w:p w14:paraId="30DE704E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年上半年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“三公”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经费支出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168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增加了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万元。其中：公务接待费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增长了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%；车辆运行费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58万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与去年持平；车辆购置费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109万元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2270C77D">
      <w:pPr>
        <w:widowControl w:val="0"/>
        <w:wordWrap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（二）政府性基金收支完成情况</w:t>
      </w:r>
    </w:p>
    <w:p w14:paraId="18AD43C8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1-6月份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政府性基金收入3335万元，执行进度为年初预算的160.3%，同比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下降73.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%。其中，国有土地使用权出让收入3335万元，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下降72.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%。 </w:t>
      </w:r>
    </w:p>
    <w:p w14:paraId="39F07338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政府性基金支出2936万元，执行进度为年初预算的83%。同比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下降72%。其中，国有土地使用权出让收入相关支出2194万元，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下降77.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%。 </w:t>
      </w:r>
    </w:p>
    <w:p w14:paraId="481E0E8E">
      <w:pPr>
        <w:widowControl w:val="0"/>
        <w:wordWrap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（三）社会保障基金收支完成情况</w:t>
      </w:r>
    </w:p>
    <w:p w14:paraId="0946BB3B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1-6月份社会保障基金预算收入完成2524万元，其中：社会保险基金缴费收入861万元；上级社会保险基金补助517万元；本级财政补助1136万元。社会保障基金支出完成2524万元，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实现收支平衡。</w:t>
      </w:r>
    </w:p>
    <w:p w14:paraId="35344F3C">
      <w:pPr>
        <w:widowControl w:val="0"/>
        <w:wordWrap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（四）政府性债务情况</w:t>
      </w:r>
    </w:p>
    <w:p w14:paraId="1B5CCB4C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上半年，我区全口径债务余额为8.95亿元，已化解政府性债务566万元，债务利息支出1446.39万元，本息支出共计2012.39万元。各项本息均按时偿还，无违约事件发生。争取到南芬区水美乡村生态建设项目一般债券资金6500万元。</w:t>
      </w:r>
    </w:p>
    <w:p w14:paraId="61F11322">
      <w:pPr>
        <w:widowControl w:val="0"/>
        <w:wordWrap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2022年上半年主要工作</w:t>
      </w:r>
    </w:p>
    <w:p w14:paraId="4549E36F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贯彻落实</w:t>
      </w:r>
      <w:r>
        <w:rPr>
          <w:rFonts w:hint="eastAsia" w:eastAsia="仿宋_GB2312" w:cs="Times New Roman"/>
          <w:sz w:val="32"/>
          <w:szCs w:val="32"/>
          <w:lang w:eastAsia="zh-CN"/>
        </w:rPr>
        <w:t>留抵退税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政策</w:t>
      </w:r>
    </w:p>
    <w:p w14:paraId="4D25B806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充分认识其重大意义。今年国家实施新的组合式税费支持政策,特别是大规模增值税留抵退税政策,是稳定宏观经济大盘的关键性举措,对于助企纾困发展意义重大。区财政局积极贯彻落实，与区税务局结合我区实际情况多次进行了专题研究部署，切实增强政治责任感和工作主动性,确保企业及时充分便捷地享受政策红利,提振市场信心。</w:t>
      </w:r>
    </w:p>
    <w:p w14:paraId="7A735B55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做好政策宣传解读。结合我区实际做好舆情引导,确保纳税人对退税减税降费政策应知尽知、应享尽享、愿退尽退。</w:t>
      </w:r>
    </w:p>
    <w:p w14:paraId="750235CA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（3）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建立了联合会商机制。区财政局、区税务局建立工作联席会议制度,统筹推进退税减税降费工作，密切协作、周密筹划、发挥合力, 确保落实落细各项政策。</w:t>
      </w:r>
    </w:p>
    <w:p w14:paraId="1871BC83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（4）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按时完成退税任务。国家已经明确6月30日前基本完成集中退还存量留抵税额，区财政部门和区税务部门提前做好预判研判，加强资金统筹，在保障“三保”优先的前提下，确保在规定时间内完成存量留抵税额集中退还任务。</w:t>
      </w:r>
    </w:p>
    <w:p w14:paraId="3C5DAE5E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保障</w:t>
      </w:r>
      <w:r>
        <w:rPr>
          <w:rFonts w:hint="eastAsia" w:eastAsia="仿宋_GB2312" w:cs="Times New Roman"/>
          <w:sz w:val="32"/>
          <w:szCs w:val="32"/>
          <w:lang w:eastAsia="zh-CN"/>
        </w:rPr>
        <w:t>留抵退税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资金需求</w:t>
      </w:r>
    </w:p>
    <w:p w14:paraId="495C3D8E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做好库款资金的统筹保障工作，直达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专门用来支持办理留抵退税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严格按照国家规定的增值税留抵退税科目办理和核算留抵退税业务。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（3）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加强部门协同配合，加强协调配合和信息共享,确保了退税资金及时足额退付给企业。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月份全口径留抵退税额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5557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406AB461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财政运行基本平稳</w:t>
      </w:r>
    </w:p>
    <w:p w14:paraId="795E105D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牢固树立底线思维。将“三保"作为一项重要政治任务, 按照《辽宁省保障县区财政平稳运行工作方案》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和《本溪市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保障县区财政平稳运行工作方案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有关要求,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制定了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本地区工作方案,坚决兜牢"三保"底线。</w:t>
      </w:r>
    </w:p>
    <w:p w14:paraId="567B1D34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积极组织财政收入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紧盯重点行业和重点企业,综合运用财政政策,强化纾困帮扶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培植壮大财源。强化收入征管,深挖增收潜力,做到依法征收、应收尽收。</w:t>
      </w:r>
    </w:p>
    <w:p w14:paraId="38228C26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（3）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落实过紧日子要求。从严控制一般性支出，大力压减非急需、非刚性支出，把节省下来的资金统筹用于保障财政平稳运行支出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7191C156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积极争取债券资金</w:t>
      </w:r>
    </w:p>
    <w:p w14:paraId="28E77EA3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2022年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共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申报一般债券项目3个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成功争取到南芬区水美乡村建设项目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6500万元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69FCA474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严肃财经纪律</w:t>
      </w:r>
    </w:p>
    <w:p w14:paraId="34139B32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推进财经秩序整治。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根据上级部门工作要求，开展了我区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地方财经秩序专项整治行动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按照总体工作方案和7个分领域工作指南要求,将本地区存在的问题兜全、查细。</w:t>
      </w:r>
    </w:p>
    <w:p w14:paraId="1509F89F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三、2022年下半年工作情况</w:t>
      </w:r>
    </w:p>
    <w:p w14:paraId="2C9BC57F">
      <w:pPr>
        <w:widowControl w:val="0"/>
        <w:wordWrap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（一）财政收支方面</w:t>
      </w:r>
    </w:p>
    <w:p w14:paraId="679834F8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做好全年收支分析研判。重点做好一般公共预算收入、地方可用财力、留抵退税的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精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算和研判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为做好全年财政收支平衡奠定基础。</w:t>
      </w:r>
    </w:p>
    <w:p w14:paraId="54B8D941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狠抓财政收入质量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。深入挖掘增收潜力，依法依规组织财政收入，确保应收尽收，坚决防止违规征收过头税费、虚列财政收入等行为发生。强化税源分析，加强收入调度和分析预测，与发改、工信、 统计、税务等部门定期沟通协调，强化对重点行业特别是重点税源企业的动态监控，做好税源、税种分析，重点关注税种大幅度增减变化情况，主动服务税源企业，在政策范围内及时帮助解决企业困难诉求，夯实支柱税源基础。</w:t>
      </w:r>
    </w:p>
    <w:p w14:paraId="544911EF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进一步压减非重点、非急需支出。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进一步加大预算执行中的非重点、非刚性支出压减力度。调整收回和压减的资金全部统筹用于保障“六稳”“六保”等重点工作任务，全力支持疫情防控以及经济社会发展。</w:t>
      </w:r>
    </w:p>
    <w:p w14:paraId="3FE710AA">
      <w:pPr>
        <w:widowControl w:val="0"/>
        <w:wordWrap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(二)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要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落实落细一揽子支持稳定经济的各项财政政策</w:t>
      </w:r>
    </w:p>
    <w:p w14:paraId="79DDDD52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我局将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结合本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实际，抓紧制定简单易行、操作性强的工作细则和办理流程，加快各类资金拨付进度，发挥财政资金引导撬动作用，确保国家和省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已出台的各项扶持政策在最短时间内落地见效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12D8DC59">
      <w:pPr>
        <w:widowControl w:val="0"/>
        <w:wordWrap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（三）兜牢兜实“三保”底线</w:t>
      </w:r>
    </w:p>
    <w:p w14:paraId="52C511F0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将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“三保”作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为一项极为重要的工作常抓不懈，对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“三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保”方面的潜在风险要保持高度警觉，一刻也不能放松。兜牢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“三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保”底线，保障县区财政平稳运行。</w:t>
      </w:r>
    </w:p>
    <w:p w14:paraId="02C17B40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“三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保”资金保障。将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“三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保”支出作为重中之重，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保障教师等重点群体工资、 养老金等按时发放，将疫苗接种、核酸检测、防疫物资及必要生活物资保供等疫情防控必要支出，作为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“三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保”支出的重要内容；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发放到个人的低保、抚恤、救助等资金, 在规定时间节点或时限内发放；对涉企补贴、贴息类资金，按政策要求及时主动拨付；</w:t>
      </w:r>
      <w:bookmarkStart w:id="0" w:name="bookmark11"/>
      <w:bookmarkEnd w:id="0"/>
    </w:p>
    <w:p w14:paraId="5D4C5B75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用好工资库款保障户。按照规定的时限，将工资足额存入工资库款保障户，确保工资在规定时间内发放。</w:t>
      </w:r>
    </w:p>
    <w:p w14:paraId="3080749F">
      <w:pPr>
        <w:widowControl w:val="0"/>
        <w:wordWrap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（四）严格预算执行，科学编制预算</w:t>
      </w:r>
    </w:p>
    <w:p w14:paraId="0208856B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严格落实“先有预算、再有指标、后有支出”、“支出预算余额控制支出指标余额、支出指标余额控制资金支付”的控制机制，严禁超预算、无预算安排支出。结合本地区实际，对执行中确实需要增加或减少预算支出的，仔细梳理按照《预算法》有关规定，做好预算调整各项准备工作。</w:t>
      </w:r>
    </w:p>
    <w:p w14:paraId="339148D3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2.提前谋划部署，依托预算管理一体化平台，科学合理编制预算。首先，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充实预算单位基础信息，按规范统一系统参数，确保预算数据的采集。加强系统间衔接，确保人员信息动态管理，为预算精细化编制提供基础保障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；其次，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预算安排坚持量入为出，打破基数概念和支出固化格局，细化完善基本支出和项目支出的标准体系，有标准的按标准编制，无标准的项目支出加强绩效审核，充分利用事前评估机制，确定绩效评价体系，不断优化预算资金分配方式、提高预算编制的科学性和精准性。再次，坚持“三保"两个优先。 根据上半年省级“三保”预算审核情况, 将“三保"作为预算安排的重中之重,足额安排,不留缺口。执行中坚持"两个优先",即"三保”支出在财政支出中的优先,国家规定标准和省规定标准"三保"支出在"三保"支出中的优先。最后，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完善项目库建设，部门所有支出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均以项目形式入库管理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307EF268">
      <w:pPr>
        <w:widowControl w:val="0"/>
        <w:wordWrap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（五）加快新增债券资金使用</w:t>
      </w:r>
    </w:p>
    <w:p w14:paraId="33B49200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1.按照上级要求，区财政将按时调度项目资金使用进度，并督促项目主管部门尤其项目单位加快支出进度。</w:t>
      </w:r>
    </w:p>
    <w:p w14:paraId="5779FC0A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按照“储备入库一批、发行使用一批、开工建设一批”的要求，持续做好新增债券项目常态化谋划储备工作，根据省财政厅、省发展改革委联合下发的《关于进一步做好基础设施领域项目谋划储备有关工作的通知》，围绕扩大新增债券支持领域的新型基础设施等项目、以及疫情应急处置能力提升项目，加强项目储备，优化完善现有项目，确保符合国家政策要求。</w:t>
      </w:r>
    </w:p>
    <w:p w14:paraId="5FAB5B82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主任、副主任，各位委员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2022年将召开党的二十大，这是党和国家政治生活中的一件大事。同时，今年也是贯彻落实市第十次党代会精神的头一年，做好财政工作意义重大。全体财政干部要坚持以习近平新时代中国特色社会主义思想为指导，按照中央、省委省政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市委市政府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、区委区政府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的决策部署，积极应对形势变化，精准把握政策要求，努力在变化中赢得主动，推进财政高质量发展。</w:t>
      </w:r>
    </w:p>
    <w:p w14:paraId="4332A5A2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572CF74C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62641240"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CE09D">
    <w:pPr>
      <w:pStyle w:val="2"/>
    </w:pPr>
    <w:r>
      <w:rPr>
        <w:rFonts w:ascii="Times New Roman" w:hAnsi="Times New Roman" w:eastAsia="宋体" w:cs="Times New Roman"/>
        <w:kern w:val="2"/>
        <w:sz w:val="18"/>
        <w:szCs w:val="24"/>
        <w:lang w:val="en-US" w:eastAsia="zh-CN" w:bidi="ar-SA"/>
      </w:rPr>
      <w:pict>
        <v:rect id="文本框 1" o:spid="_x0000_s4097" o:spt="1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 w14:paraId="236F0870">
                <w:pPr>
                  <w:pStyle w:val="2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sz w:val="28"/>
                    <w:szCs w:val="28"/>
                  </w:rPr>
                  <w:t>1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GZlYjM4YWJjZDgyM2YyYzVlMGFjYmM3MjExMDE5NzcifQ=="/>
  </w:docVars>
  <w:rsids>
    <w:rsidRoot w:val="00000000"/>
    <w:rsid w:val="319739A2"/>
    <w:rsid w:val="39151A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5781</Words>
  <Characters>6730</Characters>
  <Lines>0</Lines>
  <Paragraphs>0</Paragraphs>
  <TotalTime>0</TotalTime>
  <ScaleCrop>false</ScaleCrop>
  <LinksUpToDate>false</LinksUpToDate>
  <CharactersWithSpaces>6747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2022-07-08T02:35:00Z</dcterms:created>
  <dc:creator> Mrs.Y~° </dc:creator>
  <cp:lastModifiedBy>五福临门</cp:lastModifiedBy>
  <dcterms:modified xsi:type="dcterms:W3CDTF">2025-09-16T07:53:13Z</dcterms:modified>
  <dc:title>关于南芬区2021年财政决算（草案）和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E6DFFE54112447FF9856208EF0A3B836</vt:lpwstr>
  </property>
  <property fmtid="{D5CDD505-2E9C-101B-9397-08002B2CF9AE}" pid="4" name="KSOTemplateDocerSaveRecord">
    <vt:lpwstr>eyJoZGlkIjoiZGZlYjM4YWJjZDgyM2YyYzVlMGFjYmM3MjExMDE5NzciLCJ1c2VySWQiOiI4NzIzODE1MjQifQ==</vt:lpwstr>
  </property>
</Properties>
</file>