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2F22A">
      <w:pPr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关于南芬区</w:t>
      </w:r>
      <w:r>
        <w:rPr>
          <w:rFonts w:hint="eastAsia"/>
          <w:b/>
          <w:bCs/>
          <w:sz w:val="44"/>
          <w:szCs w:val="44"/>
          <w:lang w:val="en-US" w:eastAsia="zh-CN"/>
        </w:rPr>
        <w:t>2024</w:t>
      </w:r>
      <w:r>
        <w:rPr>
          <w:rFonts w:hint="eastAsia"/>
          <w:b/>
          <w:bCs/>
          <w:sz w:val="44"/>
          <w:szCs w:val="44"/>
        </w:rPr>
        <w:t>年财政决算（草案）和</w:t>
      </w:r>
    </w:p>
    <w:p w14:paraId="500FEAA5">
      <w:pPr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2025</w:t>
      </w:r>
      <w:r>
        <w:rPr>
          <w:rFonts w:hint="eastAsia"/>
          <w:b/>
          <w:bCs/>
          <w:sz w:val="44"/>
          <w:szCs w:val="44"/>
        </w:rPr>
        <w:t>年上半年财政预算执行情况的报告</w:t>
      </w:r>
    </w:p>
    <w:p w14:paraId="30C89EF1">
      <w:pPr>
        <w:bidi w:val="0"/>
        <w:rPr>
          <w:rFonts w:hint="eastAsia"/>
        </w:rPr>
      </w:pPr>
    </w:p>
    <w:p w14:paraId="4911A182">
      <w:pPr>
        <w:bidi w:val="0"/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——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2025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7月30</w:t>
      </w:r>
      <w:r>
        <w:rPr>
          <w:rFonts w:hint="eastAsia" w:ascii="楷体" w:hAnsi="楷体" w:eastAsia="楷体" w:cs="楷体"/>
          <w:sz w:val="32"/>
          <w:szCs w:val="32"/>
        </w:rPr>
        <w:t>日在南芬区第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十</w:t>
      </w:r>
      <w:r>
        <w:rPr>
          <w:rFonts w:hint="eastAsia" w:ascii="楷体" w:hAnsi="楷体" w:eastAsia="楷体" w:cs="楷体"/>
          <w:sz w:val="32"/>
          <w:szCs w:val="32"/>
        </w:rPr>
        <w:t>届</w:t>
      </w:r>
    </w:p>
    <w:p w14:paraId="6BEBAB02">
      <w:pPr>
        <w:bidi w:val="0"/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人大常委会第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27次</w:t>
      </w:r>
      <w:r>
        <w:rPr>
          <w:rFonts w:hint="eastAsia" w:ascii="楷体" w:hAnsi="楷体" w:eastAsia="楷体" w:cs="楷体"/>
          <w:sz w:val="32"/>
          <w:szCs w:val="32"/>
        </w:rPr>
        <w:t>会议上</w:t>
      </w:r>
    </w:p>
    <w:p w14:paraId="0842C73C">
      <w:pPr>
        <w:bidi w:val="0"/>
        <w:jc w:val="center"/>
        <w:rPr>
          <w:rFonts w:hint="eastAsia" w:ascii="楷体" w:hAnsi="楷体" w:eastAsia="楷体" w:cs="楷体"/>
          <w:sz w:val="32"/>
          <w:szCs w:val="32"/>
        </w:rPr>
      </w:pPr>
    </w:p>
    <w:p w14:paraId="3E801FB1">
      <w:pPr>
        <w:bidi w:val="0"/>
        <w:jc w:val="center"/>
        <w:rPr>
          <w:rFonts w:hint="eastAsia" w:ascii="楷体" w:hAnsi="楷体" w:eastAsia="楷体" w:cs="楷体"/>
          <w:sz w:val="32"/>
          <w:szCs w:val="32"/>
          <w:lang w:val="en-US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南芬区财政局 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李忠全</w:t>
      </w:r>
    </w:p>
    <w:p w14:paraId="4E705E79">
      <w:pPr>
        <w:bidi w:val="0"/>
        <w:rPr>
          <w:rFonts w:hint="eastAsia"/>
        </w:rPr>
      </w:pPr>
    </w:p>
    <w:p w14:paraId="3EE24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尊敬的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忠安</w:t>
      </w:r>
      <w:r>
        <w:rPr>
          <w:rFonts w:hint="eastAsia" w:ascii="仿宋" w:hAnsi="仿宋" w:eastAsia="仿宋" w:cs="仿宋"/>
          <w:sz w:val="32"/>
          <w:szCs w:val="32"/>
        </w:rPr>
        <w:t>主任、各位副主任、各位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5E8BE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受区政府委托，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sz w:val="32"/>
          <w:szCs w:val="32"/>
        </w:rPr>
        <w:t>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</w:t>
      </w:r>
      <w:r>
        <w:rPr>
          <w:rFonts w:hint="eastAsia" w:ascii="仿宋" w:hAnsi="仿宋" w:eastAsia="仿宋" w:cs="仿宋"/>
          <w:sz w:val="32"/>
          <w:szCs w:val="32"/>
        </w:rPr>
        <w:t>作</w:t>
      </w:r>
      <w:r>
        <w:rPr>
          <w:rFonts w:hint="eastAsia" w:eastAsia="仿宋" w:cs="Times New Roman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年财政决算和</w:t>
      </w:r>
      <w:r>
        <w:rPr>
          <w:rFonts w:hint="eastAsia" w:eastAsia="仿宋" w:cs="Times New Roman"/>
          <w:sz w:val="32"/>
          <w:szCs w:val="32"/>
          <w:lang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年上半年财政预算执行情况的报告，请予审议，并提出宝贵意见。</w:t>
      </w:r>
    </w:p>
    <w:p w14:paraId="799CD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 w:cs="黑体"/>
          <w:sz w:val="32"/>
          <w:szCs w:val="32"/>
        </w:rPr>
        <w:t>年财政决算情况</w:t>
      </w:r>
    </w:p>
    <w:p w14:paraId="6C478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" w:cs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在区委、区政府的坚强领导下，区财政局坚持以习近平新时代中国特色社会主义思想为指导，认真贯彻落实党的二十大和二十届二中、三中全会精神，深入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彻习近平总书记对财政工作的重要讲话重要指示精神，扎实落实积极的财政政策，坚定不移稳运行、促发展、保民生，坚持不懈强管理、防风险、优服务，为全区推动高质量发展提供了坚实保障。</w:t>
      </w:r>
    </w:p>
    <w:p w14:paraId="7FC89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（一）一般公共预算收支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决算</w:t>
      </w:r>
      <w:r>
        <w:rPr>
          <w:rFonts w:hint="eastAsia" w:ascii="楷体" w:hAnsi="楷体" w:eastAsia="楷体" w:cs="楷体"/>
          <w:sz w:val="32"/>
          <w:szCs w:val="32"/>
        </w:rPr>
        <w:t>情况</w:t>
      </w:r>
    </w:p>
    <w:p w14:paraId="1D0E9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一般公共预算收入情况</w:t>
      </w:r>
    </w:p>
    <w:p w14:paraId="202FB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年一般公共财政预算收入完成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27796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11.9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2953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万元。其中：税务部门完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成24328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35.9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6424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万元；财政部门完成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3468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下降50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减少3471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20F6B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（1）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按收入结构完成情况</w:t>
      </w:r>
    </w:p>
    <w:p w14:paraId="3DE34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税收收入完成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23851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万元，为预算的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95.3%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，同比增加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6337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36.2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%；非税收入完成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3945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万元，为预算的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190.6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减少3384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下降46.2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</w:t>
      </w:r>
    </w:p>
    <w:p w14:paraId="758F0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（2）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按征收科目完成情况</w:t>
      </w:r>
    </w:p>
    <w:p w14:paraId="0915B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税收收入中：增值税完成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6860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58.3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2527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万元；企业所得税完成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2336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125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万元；个人所得税完成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638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27.1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%，减少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237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万元；资源税完成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9015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增长56.7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增加3261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万元；城市维护建设税完成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916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下降2.6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万元；房产税完成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1222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增长256.3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增加879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万元；印花税完成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457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增长67.4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增加184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万元；城镇土地使用税完成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1079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color w:val="auto"/>
          <w:sz w:val="32"/>
          <w:szCs w:val="32"/>
          <w:highlight w:val="none"/>
          <w:lang w:val="en-US" w:eastAsia="zh-CN"/>
        </w:rPr>
        <w:t>14.4%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136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万元；土地增值税完成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与上年持平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；车船使用税完成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与上年持平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；耕地占用税完成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921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下降44.6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减少740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万元；契税完成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378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增长133.3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增加216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万元；环境保护税完成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增长373.3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增加56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1618B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非税收入中：专项收入完成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713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增长9.7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增加63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万元，其中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教育费附加收入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477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22.3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%，增加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万元，地方教育附加收入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236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下降9.2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万元；行政事业性收费收入完成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133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与上年持平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；罚没收入完成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1624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下降20.8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减少426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万元；国有（资源）资产有偿使用收入完成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1475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下降67.2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减少3021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72B08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一般公共预算支出情况</w:t>
      </w:r>
    </w:p>
    <w:p w14:paraId="152B4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年一般公共预算支出完成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73214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增长4.4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支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3074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19AD5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主要支出项目完成情况：一般公共服务支出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14676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％；国防支出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下降19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%；公共安全支出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1087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下降8.3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%；教育支出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4460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下降8.1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%；科技支出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%；文化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旅游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体育与传媒支出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540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%；社会保障和就业支出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10574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下降6.5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卫生健康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3437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下降16.6%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；节能环保支出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1189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%；城乡社区支出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7324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增长53.5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%；农林水支出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6364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%；交通运输支出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8136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46.3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%；资源勘探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工业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信息等支出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2600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下降34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%；商业服务业等支出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增长50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%；自然资源海洋气象等支出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931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26.3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%；住房保障支出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6893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增长41.4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%；灾害防治及应急管理支出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958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48.5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%；债务付息支出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1092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%；债务发行费支出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14.3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%；其他支出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2744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下降40.2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</w:t>
      </w:r>
    </w:p>
    <w:p w14:paraId="359E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“三公”经费支出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210.78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18.9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%，减少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49.22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万元，主要是公务用车购置经费减少。其中：公务接待费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2.09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增长109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%，公务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用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车购置经费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37.12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60.9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%，公务用车运行维护费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171.57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</w:t>
      </w:r>
    </w:p>
    <w:p w14:paraId="1E0D8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财政收支平衡情况</w:t>
      </w:r>
    </w:p>
    <w:p w14:paraId="450F6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一般公共财政预算收入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27796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万元，上级补助收入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53888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万元，上年结余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1112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待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偿债再融资一般债券结余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1700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从政府性基金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调入1027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万元，从其他资金调入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2000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万元，地方政府一般债券转贷收入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4802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万元，动用预算稳定调节基金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7223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万元，收入总计为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99548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43EBC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一般公共财政预算支出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73214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万元，上解上级支出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12867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万元，地方政府一般债券还本支出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1669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万元，安排预算稳定调节基金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1560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万元，年终结余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10238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万元，支出总计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99548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49432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收支相抵，当年财政收支总量平衡。</w:t>
      </w:r>
    </w:p>
    <w:p w14:paraId="14338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（二）政府性基金收支情况</w:t>
      </w:r>
    </w:p>
    <w:p w14:paraId="319E3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年政府性基金预算收入完成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2509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%。其中：国有土地使用权出让收入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2469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万元，城市基础设施配套费收入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210A4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政府性基金预算支出完成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7162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增长264.1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</w:t>
      </w:r>
    </w:p>
    <w:p w14:paraId="6BFDB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政府性基金预算收入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2509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元，政府性基金预算上级补助收入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1725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万元，政府性基金预算上年结余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1035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万元，其他调入资金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460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地方政府专项债务转贷收入5401万元，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收入总计为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11130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35FF7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7162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万元，上解支出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万元，调出资金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1027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地方政府专项债券还本支出900万元，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政府性基金预算年终结余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2019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万元，支出总计为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11130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07DA5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收支相抵，实现收支平衡。</w:t>
      </w:r>
    </w:p>
    <w:p w14:paraId="714E13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）国有资本经营预算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收支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情况</w:t>
      </w:r>
    </w:p>
    <w:p w14:paraId="10D716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2024年国有资本经营预算收入完成84万元，其中上级补助收入84万元。国有资本经营预算支出完成84万元，实现收支平衡。</w:t>
      </w:r>
    </w:p>
    <w:p w14:paraId="1F010BBE"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580" w:leftChars="0" w:right="0" w:rightChars="0"/>
        <w:textAlignment w:val="auto"/>
        <w:outlineLvl w:val="9"/>
        <w:rPr>
          <w:rFonts w:hint="eastAsia" w:ascii="楷体" w:hAnsi="楷体" w:eastAsia="楷体" w:cs="楷体"/>
          <w:color w:val="auto"/>
          <w:sz w:val="32"/>
          <w:highlight w:val="none"/>
          <w:shd w:val="clear" w:color="auto" w:fill="auto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32"/>
          <w:highlight w:val="none"/>
          <w:shd w:val="clear" w:color="auto" w:fill="auto"/>
          <w:lang w:eastAsia="zh-CN"/>
        </w:rPr>
        <w:t>社会保险基金收支情况</w:t>
      </w:r>
    </w:p>
    <w:p w14:paraId="6C815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2024年社会保险基金预算收入完成6556万元，其中：社会保险基金缴费收入1864万元；财政补贴收入4003万元，转移收入296万元，利息收入1万元，其他收入9万元，上年结余383万元。社会保险基金支出完成6556万元，其中：本年支出6377万元，年末滚存结余179万元，实现收支平衡。</w:t>
      </w:r>
    </w:p>
    <w:p w14:paraId="04C22D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政府性债务情况</w:t>
      </w:r>
    </w:p>
    <w:p w14:paraId="53353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eastAsia="仿宋" w:cs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年底，南芬区法定债务余额为</w:t>
      </w:r>
      <w:r>
        <w:rPr>
          <w:rFonts w:hint="eastAsia" w:eastAsia="仿宋" w:cs="Times New Roman"/>
          <w:sz w:val="32"/>
          <w:szCs w:val="32"/>
          <w:lang w:val="en-US" w:eastAsia="zh-CN"/>
        </w:rPr>
        <w:t>5.96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亿元，</w:t>
      </w:r>
      <w:r>
        <w:rPr>
          <w:rFonts w:hint="eastAsia" w:eastAsia="仿宋" w:cs="Times New Roman"/>
          <w:sz w:val="32"/>
          <w:szCs w:val="32"/>
          <w:lang w:val="en-US" w:eastAsia="zh-CN"/>
        </w:rPr>
        <w:t>系统内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隐性债务</w:t>
      </w:r>
      <w:r>
        <w:rPr>
          <w:rFonts w:hint="eastAsia" w:eastAsia="仿宋" w:cs="Times New Roman"/>
          <w:sz w:val="32"/>
          <w:szCs w:val="32"/>
          <w:lang w:val="en-US" w:eastAsia="zh-CN"/>
        </w:rPr>
        <w:t>（棚改贷款）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余额</w:t>
      </w:r>
      <w:r>
        <w:rPr>
          <w:rFonts w:hint="eastAsia" w:eastAsia="仿宋" w:cs="Times New Roman"/>
          <w:sz w:val="32"/>
          <w:szCs w:val="32"/>
          <w:lang w:val="en-US" w:eastAsia="zh-CN"/>
        </w:rPr>
        <w:t>1.22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亿元。本年还本付息资金均按时支付，无违约事件发生，全年还本付息总计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4753.19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万元，其中还本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1749.44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万元，付息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3003.75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万元。</w:t>
      </w:r>
    </w:p>
    <w:p w14:paraId="7F7D2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2025</w:t>
      </w:r>
      <w:r>
        <w:rPr>
          <w:rFonts w:hint="eastAsia" w:ascii="黑体" w:hAnsi="黑体" w:eastAsia="黑体" w:cs="黑体"/>
          <w:sz w:val="32"/>
          <w:szCs w:val="32"/>
        </w:rPr>
        <w:t>年上半年财政预算执行情况</w:t>
      </w:r>
    </w:p>
    <w:p w14:paraId="74261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（一）一般公共预算收支执行情况</w:t>
      </w:r>
    </w:p>
    <w:p w14:paraId="69BF4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一般公共预算收入情况</w:t>
      </w:r>
    </w:p>
    <w:p w14:paraId="7BD8A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一般公共预算收入完成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17706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增长21.7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%，执行进度为年初预算的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60.7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%。其中：税收收入完成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14273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增长23.1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%，执行进度为年初预算的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53.6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%，占一般公共预算收入比重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的80.6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%。非税收入完成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3433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增长16.1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%，执行进度为年初预算的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135.4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%，占一般公共预算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收入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19.4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 xml:space="preserve">%。 </w:t>
      </w:r>
    </w:p>
    <w:p w14:paraId="210B1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 xml:space="preserve">按税种分，主要税收收入项目情况如下： </w:t>
      </w:r>
    </w:p>
    <w:p w14:paraId="74B44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国内增值税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3817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增长20.1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%；企业所得税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852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37.8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%；个人所得税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837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增长125.6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%；城市维护建设税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518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增长5.7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%；印花税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287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%；资源税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6448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57.1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%；契税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269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177.3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%；土地增值税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-2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下降100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%；房产税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828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66.3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%；城镇土地使用税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380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下降39.8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%；环境保护税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增长428.6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%；车船税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 xml:space="preserve">万元，与上年持平。 </w:t>
      </w:r>
    </w:p>
    <w:p w14:paraId="762FD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非税收入主要科目情况如下：</w:t>
      </w:r>
    </w:p>
    <w:p w14:paraId="37330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专项收入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291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下降33.1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%；行政事业性收费收入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下降41.7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%；罚没收入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1120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下降18.5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%；国有资源（资产）有偿使用收入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1959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增长88.5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</w:t>
      </w:r>
    </w:p>
    <w:p w14:paraId="710E4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一般公共预算支出情况</w:t>
      </w:r>
    </w:p>
    <w:p w14:paraId="5B82C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一般公共财政预算支出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26429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万元，执行进度为年初预算的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59.2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%，比上年同期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下降25.3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减少8951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</w:t>
      </w:r>
    </w:p>
    <w:p w14:paraId="52AAB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主要支出项目完成情况：</w:t>
      </w:r>
    </w:p>
    <w:p w14:paraId="21DB0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一般公共服务支出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6544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下降24.3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%；国防支出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93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同比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36.8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%；公共安全支出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757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%；教育支出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1970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%；社会保障和就业支出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4276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14.7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%；卫生健康支出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1126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19.3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%；节能环保支出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485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18.8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%；城乡社区支出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1612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%；文化旅游体育与传媒支出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337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29.1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%；农林水支出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3644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增长30.9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%；交通运输支出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1043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下降80.7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%；资源勘探信息等支出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604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29.1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%；商业服务业等支出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与上年持平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；自然资源海洋气象等支出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85.7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%；住房保障支出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1996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下降29.3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%；灾害防治及应急管理支出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487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28.8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%；其他支出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676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万元，同比下降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66.3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%；债务付息支出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735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15.4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</w:t>
      </w:r>
    </w:p>
    <w:p w14:paraId="1A522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年上半年“三公”经费支出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84.9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7.6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%，增加了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万元。其中：公务接待费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0.39万元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；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公务用车购置经费28.42万元，同比增加100%，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车辆运行费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56.09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下降29.1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。</w:t>
      </w:r>
    </w:p>
    <w:p w14:paraId="34A82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（二）政府性基金收支完成情况</w:t>
      </w:r>
    </w:p>
    <w:p w14:paraId="5E652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政府性基金收入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2858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万元，执行进度为年初预算的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71.5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548.1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%。其中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国有土地使用权出让收入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2858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万元，同比增长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548.1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 xml:space="preserve">%。 </w:t>
      </w:r>
    </w:p>
    <w:p w14:paraId="165FC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政府性基金支出1776万元，执行进度为年初预算的23.3%。同比增长109.4%。其中，国有土地使用权出让收入相关支出861万元，同比增长97.9%。</w:t>
      </w:r>
    </w:p>
    <w:p w14:paraId="77205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）国有资本经营预算收支情况</w:t>
      </w:r>
    </w:p>
    <w:p w14:paraId="4D522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上半年，国有资本经营预算收入上级专项83.4万元。</w:t>
      </w:r>
    </w:p>
    <w:p w14:paraId="5BCA4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）社会保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险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基金收支完成情况</w:t>
      </w:r>
    </w:p>
    <w:p w14:paraId="0D750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上半年，社会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保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险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基金预算收入完成3121万元，其中：社会保险基金缴费收入1002万元；上级社会保险基金补助366万元；本级财政补助1559万元；转移收入194万。社会保险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基金支出完成3110万元。</w:t>
      </w:r>
    </w:p>
    <w:p w14:paraId="2E317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）政府性债务情况</w:t>
      </w:r>
    </w:p>
    <w:p w14:paraId="671E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目前，南芬区法定债务余额为</w:t>
      </w:r>
      <w:r>
        <w:rPr>
          <w:rFonts w:hint="eastAsia" w:eastAsia="仿宋" w:cs="Times New Roman"/>
          <w:sz w:val="32"/>
          <w:szCs w:val="32"/>
          <w:lang w:val="en-US" w:eastAsia="zh-CN"/>
        </w:rPr>
        <w:t>5.96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亿元，</w:t>
      </w:r>
      <w:r>
        <w:rPr>
          <w:rFonts w:hint="eastAsia" w:eastAsia="仿宋" w:cs="Times New Roman"/>
          <w:sz w:val="32"/>
          <w:szCs w:val="32"/>
          <w:lang w:val="en-US" w:eastAsia="zh-CN"/>
        </w:rPr>
        <w:t>系统内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隐性债务余额</w:t>
      </w:r>
      <w:r>
        <w:rPr>
          <w:rFonts w:hint="eastAsia" w:eastAsia="仿宋" w:cs="Times New Roman"/>
          <w:sz w:val="32"/>
          <w:szCs w:val="32"/>
          <w:lang w:val="en-US" w:eastAsia="zh-CN"/>
        </w:rPr>
        <w:t>1.185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亿元。已化解债务</w:t>
      </w:r>
      <w:r>
        <w:rPr>
          <w:rFonts w:hint="eastAsia" w:eastAsia="仿宋" w:cs="Times New Roman"/>
          <w:sz w:val="32"/>
          <w:szCs w:val="32"/>
          <w:lang w:val="en-US" w:eastAsia="zh-CN"/>
        </w:rPr>
        <w:t>357.6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</w:t>
      </w:r>
      <w:r>
        <w:rPr>
          <w:rFonts w:hint="eastAsia" w:eastAsia="仿宋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债务利息支出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1624.4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万元，本息支出共计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1982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万元。各项本息均按时偿还，无违约事件发生。</w:t>
      </w:r>
    </w:p>
    <w:p w14:paraId="74573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2025年上半年主要工作</w:t>
      </w:r>
    </w:p>
    <w:p w14:paraId="2AF2C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强化收支统筹，筑牢财政运行根基</w:t>
      </w:r>
    </w:p>
    <w:p w14:paraId="54780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坚持将收支管理作为财政工作的核心抓手，以系统思维统筹推进增收节支各项任务。收入管理方面，深化财税协同机制建设，构建“日监测、月分析、季调度”常态化管理体系。协同自然资源部门推进国有资产盘活行动，有效挖掘增收潜力。2025年上半年，全区一般公共预算收入完成17706万元，同比增收3158万元，同比增长21.7%；同时，密切关注中央政策动态，积极对接上级部门，通过项目申报、政策争取等方式，累计争取上级转移支付资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33990万元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为区域发展注入强劲动能。支出管理方面，严格贯彻落实政府过“紧日子”要求，建立常态化压减机制。从严控制“三公”经费和一般性支出，强化预算刚性约束，确保有限财力用在刀刃上。上半年，全区一般公共预算支出完成26429万元，同比减少8951万元，下降25.3%，实现了财政资源的精准配置和高效使用。</w:t>
      </w:r>
    </w:p>
    <w:p w14:paraId="0E74C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2.聚焦民生保障，提升公共服务质效</w:t>
      </w:r>
    </w:p>
    <w:p w14:paraId="21357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始终坚持以人民为中心的发展思想，将民生保障作为财政工作的出发点和落脚点。2025年上半年，全区民生支出达12252万元，占一般公共预算支出的48.8%，切实做到发展为了人民、发展成果由人民共享。在社会保障领域，全面落实城乡居民基本养老保险、基本医疗保险提标政策，完善社会救助和保障标准与物价上涨挂钩联动机制，有效保障困难群众基本生活。同时，统筹整合财政涉农资金5548万元，全力支持乡村产业发展、人居环境整治和基础设施建设；此外，回收存量资金1337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统筹用于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重点基础设施项目建设；积极争取经开区标准化厂房专项债券1100万元，为重点项目建设提供坚实资金保障。</w:t>
      </w:r>
    </w:p>
    <w:p w14:paraId="71065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3.深化改革创新，推进财政管理现代化</w:t>
      </w:r>
    </w:p>
    <w:p w14:paraId="626F3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深入贯彻落实党中央、国务院关于深化财税体制改革的决策部署，着力构建现代财政管理制度体系。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完善预算管理体系，加强一般公共预算、政府性基金预算、国有资本经营预算和社会保险基金预算的统筹衔接，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提升财政资源配置的科学性和有效性。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全面实施预算绩效管理，将绩效理念深度融入预算编制、执行、监督全过程，建立绩效评价结果与预算安排、政策调整挂钩机制，切实提高财政资金使用效益。三是强化预算刚性约束，严格执行预算调整和追加审批程序，建立预算执行动态监控机制，确保预算执行规范有序，维护预算的严肃性和权威性。</w:t>
      </w:r>
    </w:p>
    <w:p w14:paraId="15A0F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4.强化风险防控，守牢财政安全底线</w:t>
      </w:r>
    </w:p>
    <w:p w14:paraId="3F8D9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牢固树立底线思维和风险意识，将防范化解财政风险作为重要政治任务。在“三保”方面，严格落实“三保”支出在财政支出中的优先顺序。建立“三保”预算事前审核、事中监控和事后评估机制，依托预算管理一体化系统，实时监测“三保”支出和库款保障水平，科学调度资金，上半年“三保”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支出9743万元，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有效保障了基本民生刚性支出；在政府债务管理方面，严格落实政府债务管理责任制，制定完善化债方案，综合运用预算安排、资产盘活、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置换债券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等方式化解存量债务。加强政府债务风险预警和应急处置，上半年完成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还本付息支出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1982万元，全区政府债务风险总体可控，债务结构持续优化。</w:t>
      </w:r>
    </w:p>
    <w:p w14:paraId="5BDF7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5.推进国资改革，优化国有资本布局</w:t>
      </w:r>
    </w:p>
    <w:p w14:paraId="3E8C6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贯彻落实国企改革三年行动方案，扎实推进国资国企改革工作。一是加大“僵尸企业”清理力度，通过注销、重组等方式，上半年完成区市政公司下属4家无实际经营业务子公司处置工作，有效解决企业冗余、经营分散等问题，提升国有企业整体运营效率。二是开展全区机关事业单位国有资产清查专项行动，建立资产动态管理台账，将闲置资产纳入国有企业统一运营管理，实现资产优化配置和保值增值。三是完善国有金融企业管理制度，印发加强区属国有金融企业财务管理的通知，加强股权董监事履职管理，推动建立现代企业制度，提升国有金融企业治理能力和抗风险能力。</w:t>
      </w:r>
    </w:p>
    <w:p w14:paraId="6F79A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三、2025年下半年工作情况</w:t>
      </w:r>
    </w:p>
    <w:p w14:paraId="32F4DA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 w:cs="Times New Roman"/>
          <w:sz w:val="32"/>
          <w:szCs w:val="32"/>
          <w:lang w:val="en-US" w:eastAsia="zh-CN"/>
        </w:rPr>
      </w:pPr>
      <w:r>
        <w:rPr>
          <w:rFonts w:hint="eastAsia" w:eastAsia="仿宋" w:cs="Times New Roman"/>
          <w:sz w:val="32"/>
          <w:szCs w:val="32"/>
          <w:lang w:val="en-US" w:eastAsia="zh-CN"/>
        </w:rPr>
        <w:t>2025年，我国经济回升向好态势延续，内生动力增强，为财政收入稳中向好筑牢根基。但仍需清醒认识到，新发展阶段下，“三保”支出随民生标准提升和公共服务需求扩大持续增长，债务还本付息压力受存量与成本影响加大，财政收支平衡约束凸显，统筹发展和安全难度上升。立足新发展阶段，我们将坚持以习近平新时代中国特色社会主义思想为指导，锚定高质量发展首要任务，通过优化资源配置、强化绩效管理、深化财税改革，提升财政保障能力和政策效能，为全区经济社会持续健康发展提供坚实支撑。</w:t>
      </w:r>
    </w:p>
    <w:p w14:paraId="28E35CF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（一）加强财源培育，稳定财政收入增长</w:t>
      </w:r>
    </w:p>
    <w:p w14:paraId="3FDD503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推动产业升级发展。深入研究国家产业政策导向，结合地区实际，加大对战略性新兴产业、高新技术产业、现代服务业等重点产业的支持力度，提高产业附加值，促进财政收入可持续增长。二是拓宽财政增收渠道。加强国有资源（资产）管理，进一步盘活存量资产，通过市场化运作方式，提高国有资产运营效益，增加国有资源（资产）有偿使用收入。依法依规加强非税收入征管，完善非税收入收缴管理制度，加大对行政事业性收费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罚没收入等非税收入的征缴力度</w:t>
      </w:r>
      <w:r>
        <w:rPr>
          <w:rFonts w:hint="eastAsia" w:ascii="仿宋" w:hAnsi="仿宋" w:eastAsia="仿宋" w:cs="仿宋"/>
          <w:sz w:val="32"/>
          <w:szCs w:val="32"/>
        </w:rPr>
        <w:t>，确保非税收入及时足额入库。</w:t>
      </w:r>
    </w:p>
    <w:p w14:paraId="693526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优化支出结构，提高财政保障能力</w:t>
      </w:r>
    </w:p>
    <w:p w14:paraId="3C8CFB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兜牢民生底线。持续加大民生投入，聚焦教育、医疗、养老、就业等重点民生领域，完善民生保障机制，补齐民生短板。优化民生资金分配方式，加强资金统筹整合，避免重复投入和资金闲置浪费，提高资金使用效益，确保民生政策落实到位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不断增强人民群众的获得感</w:t>
      </w:r>
      <w:r>
        <w:rPr>
          <w:rFonts w:hint="eastAsia" w:ascii="仿宋" w:hAnsi="仿宋" w:eastAsia="仿宋" w:cs="仿宋"/>
          <w:sz w:val="32"/>
          <w:szCs w:val="32"/>
        </w:rPr>
        <w:t>、幸福感和安全感。二是保障重点项目建设。围绕区委、区政府确定的重大项目、重点工程，积极筹措资金，保障项目顺利实施。加强与上级部门沟通协调，争取更多的专项资金、转移支付资金支持，同时通过合理安排政府债券资金、引导社会资本参与等方式，拓宽项目融资渠道，缓解财政资金压力，为地区经济社会发展提供有力支撑。</w:t>
      </w:r>
    </w:p>
    <w:p w14:paraId="756CB0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深化财政改革，提升财政管理效能</w:t>
      </w:r>
    </w:p>
    <w:p w14:paraId="6D89E1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一是持续落实“过紧日子”要求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强化“三公”经费日常监管，通过预算管理一体化系统实现预算编制对预算执行的约束和控制；在确保党政机关日常运转的基础上，结合工作实际，压减一般性支出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和非急需、非刚性支出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；强化预算执行监督，合理安排预算支出进度，严禁提前预付或突击花钱，依托预算一体化监控模块，对异常列支会议费、培训费等加大监控力度。二是规范政府投资项目管理。严格落实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省、市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关于政府投资项目管理的相关法规政策，坚持量力而行，依法依规操作，严格落实资金来源，按照概算控制预算、预算控制决算的要求，委托有资质的第三方机构合理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审定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拦标价格，实现财政资金高效利用。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对于结算完工的政府投资项目进行财审，确保财政资金合理、合规、有效使用。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是启动实施零基预算深化改革。按照全市统一部署，推动我区零基预算深化改革。强化资金资源统筹，优化财政支出结构，硬化预算管理约束，打破支出固化格局，健全完善“破基数、强统筹、保重点”的预算管理机制。在财政收入紧缩时，首先保障刚性支出，全力保障重点民生领域重点支出，科学合理压缩非必要支出，确保财政资金使用科学合理。</w:t>
      </w:r>
    </w:p>
    <w:p w14:paraId="16E3DB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强化财政监督，防范财政风险</w:t>
      </w:r>
    </w:p>
    <w:p w14:paraId="7D4308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加强财政资金监管。健全财政监督检查机制，加大对财政资金使用情况的监督检查力度，重点加强对民生领域、重大项目建设资金以及专项资金的监管，严肃财经纪律，确保财政资金安全规范使用。二是防范化解政府债务风险。严格落实政府债务限额管理和预算管理制度，规范政府举债融资行为，严禁新增隐性债务。加强对政府债务的动态监测和风险预警，完善债务风险应急处置机制，通过合理安排财政资金、盘活存量资产等方式，积极稳妥化解存量债务，确保政府债务风险可控，维护财政可持续发展。</w:t>
      </w:r>
    </w:p>
    <w:p w14:paraId="5083D6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）深化国企改革，优化国有经济布局</w:t>
      </w:r>
    </w:p>
    <w:p w14:paraId="5DD8EA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化解企业历史遗留问题。组建专班处理瑞林林业与鑫宏碳汇合约纠纷，建立“一案一策”台账，通过多元手段解决争议、启动注销程序；制定风险化解方案，分步推进区市政建筑工程处债务处置与企业注销，消除历史隐患。二是强化国有资产集中监管。按计划将分散经营性国有资产划转至国资监管机构，规范全流程管理，盘活闲置低效资产。三是推进事业单位企业脱钩。开展专项清查，制定脱钩清单，分类处置企业。对潜力企业推动重组，亏损企业依法清算注销，同步做好职工安置，精简企业结构，提升国有资本配置效率。</w:t>
      </w:r>
    </w:p>
    <w:p w14:paraId="732DD832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位代表，2025年下半年，我局将以习近平新时代中国特色社会主义思想为指导，深入贯彻落实区委、区政府的决策部署，围绕全年目标任务，攻坚克难，真抓实干，努力完成各项财政工作任务，为全区经济社会高质量发展做出新的更大贡献。</w:t>
      </w:r>
    </w:p>
    <w:p w14:paraId="33DCF860">
      <w:pPr>
        <w:keepNext w:val="0"/>
        <w:keepLines w:val="0"/>
        <w:widowControl/>
        <w:suppressLineNumbers w:val="0"/>
        <w:shd w:val="clear" w:fill="FFFFFF"/>
        <w:ind w:left="-225" w:right="-225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</w:p>
    <w:p w14:paraId="07278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CEA8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8296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D8296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YjRhNjIwOTA5MWYzOTM1MmI0N2EyMjI2YWQyMTYifQ=="/>
    <w:docVar w:name="KSO_WPS_MARK_KEY" w:val="9fc29380-351a-4db4-88ee-44d42b148a1a"/>
  </w:docVars>
  <w:rsids>
    <w:rsidRoot w:val="18387AD3"/>
    <w:rsid w:val="01371825"/>
    <w:rsid w:val="01627F12"/>
    <w:rsid w:val="026A0B5E"/>
    <w:rsid w:val="04B325E2"/>
    <w:rsid w:val="04FA68C4"/>
    <w:rsid w:val="07487DBA"/>
    <w:rsid w:val="074D53D1"/>
    <w:rsid w:val="0A00672A"/>
    <w:rsid w:val="0B1C3A38"/>
    <w:rsid w:val="0B9C06D5"/>
    <w:rsid w:val="0E4548D8"/>
    <w:rsid w:val="0EB61863"/>
    <w:rsid w:val="0F594689"/>
    <w:rsid w:val="104B4477"/>
    <w:rsid w:val="10961BF4"/>
    <w:rsid w:val="12D1556E"/>
    <w:rsid w:val="16070E41"/>
    <w:rsid w:val="1618304E"/>
    <w:rsid w:val="16276842"/>
    <w:rsid w:val="171E071A"/>
    <w:rsid w:val="18387AD3"/>
    <w:rsid w:val="18465066"/>
    <w:rsid w:val="1A204BC7"/>
    <w:rsid w:val="1C7F7983"/>
    <w:rsid w:val="1CA13D9D"/>
    <w:rsid w:val="1D9E427C"/>
    <w:rsid w:val="1E0E73DA"/>
    <w:rsid w:val="1EC009B7"/>
    <w:rsid w:val="1FF64400"/>
    <w:rsid w:val="2012512B"/>
    <w:rsid w:val="20DA5ACF"/>
    <w:rsid w:val="23D700A4"/>
    <w:rsid w:val="23D74548"/>
    <w:rsid w:val="23E427C1"/>
    <w:rsid w:val="24203D7C"/>
    <w:rsid w:val="24403244"/>
    <w:rsid w:val="254C4AC2"/>
    <w:rsid w:val="26655E3B"/>
    <w:rsid w:val="26B55EA6"/>
    <w:rsid w:val="28FF784F"/>
    <w:rsid w:val="29051210"/>
    <w:rsid w:val="291476A5"/>
    <w:rsid w:val="29A0718A"/>
    <w:rsid w:val="29B608D0"/>
    <w:rsid w:val="2AF47F68"/>
    <w:rsid w:val="2B710CB0"/>
    <w:rsid w:val="2C7566AC"/>
    <w:rsid w:val="2F045DFF"/>
    <w:rsid w:val="311E43AA"/>
    <w:rsid w:val="31315DFB"/>
    <w:rsid w:val="31332C25"/>
    <w:rsid w:val="313F0558"/>
    <w:rsid w:val="32285F6F"/>
    <w:rsid w:val="32A67526"/>
    <w:rsid w:val="36AE3546"/>
    <w:rsid w:val="37E1553E"/>
    <w:rsid w:val="38883C0B"/>
    <w:rsid w:val="38E47094"/>
    <w:rsid w:val="3A0177D1"/>
    <w:rsid w:val="3AD54849"/>
    <w:rsid w:val="3AE71032"/>
    <w:rsid w:val="3C8504F3"/>
    <w:rsid w:val="3E10092B"/>
    <w:rsid w:val="3F2F4761"/>
    <w:rsid w:val="40363F4D"/>
    <w:rsid w:val="414F176A"/>
    <w:rsid w:val="41B15F81"/>
    <w:rsid w:val="41D41C6F"/>
    <w:rsid w:val="44E421C9"/>
    <w:rsid w:val="46CB53EF"/>
    <w:rsid w:val="46F5221E"/>
    <w:rsid w:val="497A16E3"/>
    <w:rsid w:val="4A581082"/>
    <w:rsid w:val="4AC540ED"/>
    <w:rsid w:val="4B6A2728"/>
    <w:rsid w:val="4C481290"/>
    <w:rsid w:val="4D3F2693"/>
    <w:rsid w:val="4F59374B"/>
    <w:rsid w:val="50CF1F80"/>
    <w:rsid w:val="50F32112"/>
    <w:rsid w:val="512C5624"/>
    <w:rsid w:val="532263B9"/>
    <w:rsid w:val="53CA4C80"/>
    <w:rsid w:val="54907C78"/>
    <w:rsid w:val="54E86722"/>
    <w:rsid w:val="54F13F51"/>
    <w:rsid w:val="555F3890"/>
    <w:rsid w:val="57F453AF"/>
    <w:rsid w:val="581D12EB"/>
    <w:rsid w:val="59E57A50"/>
    <w:rsid w:val="5B1038C0"/>
    <w:rsid w:val="5B9173E2"/>
    <w:rsid w:val="5C78171D"/>
    <w:rsid w:val="5E251431"/>
    <w:rsid w:val="5F4A7507"/>
    <w:rsid w:val="60161979"/>
    <w:rsid w:val="6061631E"/>
    <w:rsid w:val="61495AC7"/>
    <w:rsid w:val="62653C8C"/>
    <w:rsid w:val="64963088"/>
    <w:rsid w:val="649F6AFD"/>
    <w:rsid w:val="64C37734"/>
    <w:rsid w:val="65540FAD"/>
    <w:rsid w:val="670F7122"/>
    <w:rsid w:val="678C7D6C"/>
    <w:rsid w:val="67CD5013"/>
    <w:rsid w:val="68715612"/>
    <w:rsid w:val="687A2837"/>
    <w:rsid w:val="6C4C267B"/>
    <w:rsid w:val="6CA54E58"/>
    <w:rsid w:val="6CDB1F80"/>
    <w:rsid w:val="6E895A0C"/>
    <w:rsid w:val="6EA168B2"/>
    <w:rsid w:val="6EBA01A8"/>
    <w:rsid w:val="6F7B6AA3"/>
    <w:rsid w:val="6FC84312"/>
    <w:rsid w:val="70DC0075"/>
    <w:rsid w:val="71A81469"/>
    <w:rsid w:val="71F87130"/>
    <w:rsid w:val="736173FA"/>
    <w:rsid w:val="743774E1"/>
    <w:rsid w:val="744C5512"/>
    <w:rsid w:val="75C82F7D"/>
    <w:rsid w:val="7645046A"/>
    <w:rsid w:val="76666EDB"/>
    <w:rsid w:val="76F4268C"/>
    <w:rsid w:val="77016C3D"/>
    <w:rsid w:val="7798554B"/>
    <w:rsid w:val="77A76A96"/>
    <w:rsid w:val="782C0BA7"/>
    <w:rsid w:val="78300CA6"/>
    <w:rsid w:val="7A6D7F90"/>
    <w:rsid w:val="7B2C7E4B"/>
    <w:rsid w:val="7C2B4137"/>
    <w:rsid w:val="7E24334B"/>
    <w:rsid w:val="7FC76394"/>
    <w:rsid w:val="7FD0436D"/>
    <w:rsid w:val="7FE5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qFormat/>
    <w:uiPriority w:val="0"/>
    <w:pPr>
      <w:jc w:val="left"/>
    </w:pPr>
    <w:rPr>
      <w:rFonts w:ascii="Times New Roman" w:hAnsi="Times New Roman" w:cs="Times New Roman"/>
      <w:kern w:val="1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cs="Times New Roman"/>
      <w:kern w:val="1"/>
    </w:r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Indent"/>
    <w:basedOn w:val="1"/>
    <w:next w:val="4"/>
    <w:autoRedefine/>
    <w:qFormat/>
    <w:uiPriority w:val="0"/>
    <w:pPr>
      <w:ind w:firstLine="768" w:firstLineChars="240"/>
    </w:pPr>
    <w:rPr>
      <w:rFonts w:hint="eastAsia" w:ascii="楷体_GB2312" w:eastAsia="楷体_GB2312"/>
      <w:bCs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paragraph" w:styleId="9">
    <w:name w:val="Body Text First Indent 2"/>
    <w:basedOn w:val="5"/>
    <w:next w:val="1"/>
    <w:autoRedefine/>
    <w:qFormat/>
    <w:uiPriority w:val="0"/>
    <w:pPr>
      <w:ind w:firstLine="420" w:firstLineChars="200"/>
    </w:p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6681</Words>
  <Characters>7666</Characters>
  <Lines>0</Lines>
  <Paragraphs>0</Paragraphs>
  <TotalTime>1</TotalTime>
  <ScaleCrop>false</ScaleCrop>
  <LinksUpToDate>false</LinksUpToDate>
  <CharactersWithSpaces>7673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2022-07-08T02:35:00Z</dcterms:created>
  <dc:creator> Mrs.Y~° </dc:creator>
  <cp:lastModifiedBy> Mrs.Y~° </cp:lastModifiedBy>
  <cp:lastPrinted>2025-07-30T00:44:33Z</cp:lastPrinted>
  <dcterms:modified xsi:type="dcterms:W3CDTF">2025-07-30T04:15:21Z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188CA46215C9499580B389F214CC32EC_13</vt:lpwstr>
  </property>
  <property fmtid="{D5CDD505-2E9C-101B-9397-08002B2CF9AE}" pid="4" name="KSOTemplateDocerSaveRecord">
    <vt:lpwstr>eyJoZGlkIjoiMGUzYjRhNjIwOTA5MWYzOTM1MmI0N2EyMjI2YWQyMTYiLCJ1c2VySWQiOiIxMDE5NjE4OTg1In0=</vt:lpwstr>
  </property>
</Properties>
</file>