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ascii="楷体" w:hAnsi="楷体" w:eastAsia="楷体"/>
          <w:b/>
          <w:sz w:val="52"/>
          <w:szCs w:val="52"/>
        </w:rPr>
      </w:pPr>
      <w:r>
        <w:rPr>
          <w:rFonts w:hint="eastAsia" w:ascii="楷体" w:hAnsi="楷体" w:eastAsia="楷体"/>
          <w:b/>
          <w:sz w:val="52"/>
          <w:szCs w:val="52"/>
        </w:rPr>
        <w:t>本溪市南芬区</w:t>
      </w:r>
      <w:r>
        <w:rPr>
          <w:rFonts w:hint="eastAsia" w:ascii="楷体" w:hAnsi="楷体" w:eastAsia="楷体"/>
          <w:b/>
          <w:sz w:val="52"/>
          <w:szCs w:val="52"/>
          <w:lang w:val="en-US" w:eastAsia="zh-CN"/>
        </w:rPr>
        <w:t>疾病预防控制中心</w:t>
      </w:r>
      <w:r>
        <w:rPr>
          <w:rFonts w:hint="eastAsia" w:ascii="楷体" w:hAnsi="楷体" w:eastAsia="楷体"/>
          <w:b/>
          <w:sz w:val="52"/>
          <w:szCs w:val="52"/>
        </w:rPr>
        <w:t>部门预算</w:t>
      </w:r>
    </w:p>
    <w:p>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2</w:t>
      </w:r>
      <w:r>
        <w:rPr>
          <w:rFonts w:hint="eastAsia" w:ascii="楷体" w:hAnsi="楷体" w:eastAsia="楷体"/>
          <w:b/>
          <w:sz w:val="52"/>
          <w:szCs w:val="52"/>
        </w:rPr>
        <w:t>年）</w:t>
      </w: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jc w:val="center"/>
        <w:rPr>
          <w:rFonts w:hint="eastAsia"/>
          <w:b/>
          <w:sz w:val="44"/>
          <w:szCs w:val="44"/>
          <w:u w:val="single"/>
        </w:rPr>
      </w:pPr>
    </w:p>
    <w:p>
      <w:pPr>
        <w:rPr>
          <w:rFonts w:hint="eastAsia"/>
          <w:b/>
          <w:sz w:val="44"/>
          <w:szCs w:val="44"/>
        </w:rPr>
      </w:pPr>
    </w:p>
    <w:p>
      <w:pPr>
        <w:jc w:val="center"/>
        <w:rPr>
          <w:rFonts w:hint="eastAsia"/>
          <w:b/>
          <w:sz w:val="44"/>
          <w:szCs w:val="44"/>
        </w:rPr>
      </w:pPr>
      <w:r>
        <w:rPr>
          <w:rFonts w:hint="eastAsia"/>
          <w:b/>
          <w:sz w:val="44"/>
          <w:szCs w:val="44"/>
        </w:rPr>
        <w:t>目    录</w:t>
      </w:r>
    </w:p>
    <w:p>
      <w:pPr>
        <w:rPr>
          <w:rFonts w:hint="eastAsia"/>
          <w:b/>
          <w:sz w:val="44"/>
          <w:szCs w:val="44"/>
          <w:u w:val="single"/>
        </w:rPr>
      </w:pPr>
    </w:p>
    <w:p>
      <w:pPr>
        <w:rPr>
          <w:rFonts w:hint="eastAsia"/>
          <w:b/>
          <w:sz w:val="44"/>
          <w:szCs w:val="44"/>
          <w:u w:val="single"/>
        </w:rPr>
      </w:pPr>
    </w:p>
    <w:p>
      <w:pPr>
        <w:rPr>
          <w:rFonts w:hint="eastAsia" w:ascii="黑体" w:hAnsi="黑体" w:eastAsia="黑体"/>
          <w:sz w:val="32"/>
          <w:szCs w:val="32"/>
        </w:rPr>
      </w:pPr>
      <w:r>
        <w:rPr>
          <w:rFonts w:hint="eastAsia" w:ascii="黑体" w:hAnsi="黑体" w:eastAsia="黑体"/>
          <w:sz w:val="32"/>
          <w:szCs w:val="32"/>
        </w:rPr>
        <w:t>第一部分   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概况</w:t>
      </w:r>
    </w:p>
    <w:p>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pPr>
        <w:rPr>
          <w:rFonts w:hint="eastAsia" w:ascii="黑体" w:hAnsi="黑体" w:eastAsia="黑体"/>
          <w:sz w:val="32"/>
          <w:szCs w:val="32"/>
        </w:rPr>
      </w:pPr>
      <w:r>
        <w:rPr>
          <w:rFonts w:hint="eastAsia" w:ascii="黑体" w:hAnsi="黑体" w:eastAsia="黑体"/>
          <w:sz w:val="32"/>
          <w:szCs w:val="32"/>
          <w:lang w:val="en-US" w:eastAsia="zh-CN"/>
        </w:rPr>
        <w:t xml:space="preserve">第二部分   </w:t>
      </w:r>
      <w:r>
        <w:rPr>
          <w:rFonts w:hint="eastAsia" w:ascii="黑体" w:hAnsi="黑体" w:eastAsia="黑体"/>
          <w:sz w:val="32"/>
          <w:szCs w:val="32"/>
        </w:rPr>
        <w:t>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年部门预算表</w:t>
      </w:r>
    </w:p>
    <w:p>
      <w:pPr>
        <w:rPr>
          <w:rFonts w:hint="eastAsia" w:ascii="仿宋_GB2312" w:hAnsi="黑体" w:eastAsia="仿宋_GB2312"/>
          <w:sz w:val="32"/>
          <w:szCs w:val="32"/>
        </w:rPr>
      </w:pPr>
      <w:r>
        <w:rPr>
          <w:rFonts w:hint="eastAsia" w:ascii="仿宋_GB2312" w:hAnsi="黑体" w:eastAsia="仿宋_GB2312"/>
          <w:sz w:val="32"/>
          <w:szCs w:val="32"/>
        </w:rPr>
        <w:t>一、财政拨款收支预算总表</w:t>
      </w:r>
    </w:p>
    <w:p>
      <w:pPr>
        <w:rPr>
          <w:rFonts w:hint="eastAsia" w:ascii="仿宋_GB2312" w:hAnsi="黑体" w:eastAsia="仿宋_GB2312"/>
          <w:sz w:val="32"/>
          <w:szCs w:val="32"/>
        </w:rPr>
      </w:pPr>
      <w:r>
        <w:rPr>
          <w:rFonts w:hint="eastAsia" w:ascii="仿宋_GB2312" w:hAnsi="黑体" w:eastAsia="仿宋_GB2312"/>
          <w:sz w:val="32"/>
          <w:szCs w:val="32"/>
        </w:rPr>
        <w:t>二、一般公共预算支出表</w:t>
      </w:r>
    </w:p>
    <w:p>
      <w:pPr>
        <w:rPr>
          <w:rFonts w:hint="eastAsia" w:ascii="仿宋_GB2312" w:hAnsi="黑体" w:eastAsia="仿宋_GB2312"/>
          <w:sz w:val="32"/>
          <w:szCs w:val="32"/>
        </w:rPr>
      </w:pPr>
      <w:r>
        <w:rPr>
          <w:rFonts w:hint="eastAsia" w:ascii="仿宋_GB2312" w:hAnsi="黑体" w:eastAsia="仿宋_GB2312"/>
          <w:sz w:val="32"/>
          <w:szCs w:val="32"/>
        </w:rPr>
        <w:t>三、一般公共预算基本支出表</w:t>
      </w:r>
    </w:p>
    <w:p>
      <w:pPr>
        <w:rPr>
          <w:rFonts w:hint="eastAsia" w:ascii="仿宋_GB2312" w:hAnsi="黑体" w:eastAsia="仿宋_GB2312"/>
          <w:sz w:val="32"/>
          <w:szCs w:val="32"/>
        </w:rPr>
      </w:pPr>
      <w:r>
        <w:rPr>
          <w:rFonts w:hint="eastAsia" w:ascii="仿宋_GB2312" w:hAnsi="黑体" w:eastAsia="仿宋_GB2312"/>
          <w:sz w:val="32"/>
          <w:szCs w:val="32"/>
        </w:rPr>
        <w:t>四、一般公共预算“三公”经费支出表</w:t>
      </w:r>
    </w:p>
    <w:p>
      <w:pPr>
        <w:rPr>
          <w:rFonts w:hint="eastAsia" w:ascii="仿宋_GB2312" w:hAnsi="黑体" w:eastAsia="仿宋_GB2312"/>
          <w:sz w:val="32"/>
          <w:szCs w:val="32"/>
        </w:rPr>
      </w:pPr>
      <w:r>
        <w:rPr>
          <w:rFonts w:hint="eastAsia" w:ascii="仿宋_GB2312" w:hAnsi="黑体" w:eastAsia="仿宋_GB2312"/>
          <w:sz w:val="32"/>
          <w:szCs w:val="32"/>
        </w:rPr>
        <w:t>五、政府性基金预算支出表</w:t>
      </w:r>
    </w:p>
    <w:p>
      <w:pPr>
        <w:rPr>
          <w:rFonts w:hint="eastAsia" w:ascii="仿宋_GB2312" w:hAnsi="黑体" w:eastAsia="仿宋_GB2312"/>
          <w:sz w:val="32"/>
          <w:szCs w:val="32"/>
        </w:rPr>
      </w:pPr>
      <w:r>
        <w:rPr>
          <w:rFonts w:hint="eastAsia" w:ascii="仿宋_GB2312" w:hAnsi="黑体" w:eastAsia="仿宋_GB2312"/>
          <w:sz w:val="32"/>
          <w:szCs w:val="32"/>
        </w:rPr>
        <w:t>六、部门收支预算总表</w:t>
      </w:r>
    </w:p>
    <w:p>
      <w:pPr>
        <w:rPr>
          <w:rFonts w:hint="eastAsia" w:ascii="仿宋_GB2312" w:hAnsi="黑体" w:eastAsia="仿宋_GB2312"/>
          <w:sz w:val="32"/>
          <w:szCs w:val="32"/>
        </w:rPr>
      </w:pPr>
      <w:r>
        <w:rPr>
          <w:rFonts w:hint="eastAsia" w:ascii="仿宋_GB2312" w:hAnsi="黑体" w:eastAsia="仿宋_GB2312"/>
          <w:sz w:val="32"/>
          <w:szCs w:val="32"/>
        </w:rPr>
        <w:t>七、部门收入预算总表</w:t>
      </w:r>
    </w:p>
    <w:p>
      <w:pPr>
        <w:rPr>
          <w:rFonts w:hint="eastAsia" w:ascii="仿宋_GB2312" w:hAnsi="黑体" w:eastAsia="仿宋_GB2312"/>
          <w:sz w:val="32"/>
          <w:szCs w:val="32"/>
        </w:rPr>
      </w:pPr>
      <w:r>
        <w:rPr>
          <w:rFonts w:hint="eastAsia" w:ascii="仿宋_GB2312" w:hAnsi="黑体" w:eastAsia="仿宋_GB2312"/>
          <w:sz w:val="32"/>
          <w:szCs w:val="32"/>
        </w:rPr>
        <w:t>八、部门支出预算总表（一）</w:t>
      </w:r>
    </w:p>
    <w:p>
      <w:pPr>
        <w:rPr>
          <w:rFonts w:hint="eastAsia" w:ascii="仿宋_GB2312" w:hAnsi="黑体" w:eastAsia="仿宋_GB2312"/>
          <w:sz w:val="32"/>
          <w:szCs w:val="32"/>
        </w:rPr>
      </w:pPr>
      <w:r>
        <w:rPr>
          <w:rFonts w:hint="eastAsia" w:ascii="仿宋_GB2312" w:hAnsi="黑体" w:eastAsia="仿宋_GB2312"/>
          <w:sz w:val="32"/>
          <w:szCs w:val="32"/>
        </w:rPr>
        <w:t>九、部门支出预算总表（二）</w:t>
      </w:r>
    </w:p>
    <w:p>
      <w:pPr>
        <w:rPr>
          <w:rFonts w:hint="eastAsia" w:ascii="仿宋_GB2312" w:hAnsi="黑体" w:eastAsia="仿宋_GB2312"/>
          <w:sz w:val="32"/>
          <w:szCs w:val="32"/>
        </w:rPr>
      </w:pPr>
      <w:r>
        <w:rPr>
          <w:rFonts w:hint="eastAsia" w:ascii="仿宋_GB2312" w:hAnsi="黑体" w:eastAsia="仿宋_GB2312"/>
          <w:sz w:val="32"/>
          <w:szCs w:val="32"/>
        </w:rPr>
        <w:t>十、项目支出预算明细表</w:t>
      </w:r>
    </w:p>
    <w:p>
      <w:pPr>
        <w:rPr>
          <w:rFonts w:hint="eastAsia" w:ascii="仿宋_GB2312" w:hAnsi="黑体" w:eastAsia="仿宋_GB2312"/>
          <w:sz w:val="32"/>
          <w:szCs w:val="32"/>
        </w:rPr>
      </w:pPr>
      <w:r>
        <w:rPr>
          <w:rFonts w:hint="eastAsia" w:ascii="仿宋_GB2312" w:hAnsi="黑体" w:eastAsia="仿宋_GB2312"/>
          <w:sz w:val="32"/>
          <w:szCs w:val="32"/>
        </w:rPr>
        <w:t>十一、政府采购支出预算明细表</w:t>
      </w:r>
    </w:p>
    <w:p>
      <w:pPr>
        <w:rPr>
          <w:rFonts w:hint="eastAsia" w:ascii="仿宋_GB2312" w:hAnsi="黑体" w:eastAsia="仿宋_GB2312"/>
          <w:sz w:val="32"/>
          <w:szCs w:val="32"/>
        </w:rPr>
      </w:pPr>
      <w:r>
        <w:rPr>
          <w:rFonts w:hint="eastAsia" w:ascii="仿宋_GB2312" w:hAnsi="黑体" w:eastAsia="仿宋_GB2312"/>
          <w:sz w:val="32"/>
          <w:szCs w:val="32"/>
        </w:rPr>
        <w:t>十二、“三公”经费预算汇总表</w:t>
      </w:r>
    </w:p>
    <w:p>
      <w:pPr>
        <w:rPr>
          <w:rFonts w:hint="eastAsia" w:ascii="仿宋_GB2312" w:hAnsi="黑体" w:eastAsia="仿宋_GB2312"/>
          <w:sz w:val="32"/>
          <w:szCs w:val="32"/>
        </w:rPr>
      </w:pPr>
      <w:r>
        <w:rPr>
          <w:rFonts w:hint="eastAsia" w:ascii="仿宋_GB2312" w:hAnsi="黑体" w:eastAsia="仿宋_GB2312"/>
          <w:sz w:val="32"/>
          <w:szCs w:val="32"/>
        </w:rPr>
        <w:t>十三、202</w:t>
      </w:r>
      <w:r>
        <w:rPr>
          <w:rFonts w:ascii="仿宋_GB2312" w:hAnsi="黑体" w:eastAsia="仿宋_GB2312"/>
          <w:sz w:val="32"/>
          <w:szCs w:val="32"/>
        </w:rPr>
        <w:t>2</w:t>
      </w:r>
      <w:r>
        <w:rPr>
          <w:rFonts w:hint="eastAsia" w:ascii="仿宋_GB2312" w:hAnsi="黑体" w:eastAsia="仿宋_GB2312"/>
          <w:sz w:val="32"/>
          <w:szCs w:val="32"/>
        </w:rPr>
        <w:t>年纳入绩效管理项目表</w:t>
      </w:r>
    </w:p>
    <w:p>
      <w:pPr>
        <w:rPr>
          <w:rFonts w:hint="eastAsia" w:ascii="黑体" w:hAnsi="黑体" w:eastAsia="黑体"/>
          <w:sz w:val="32"/>
          <w:szCs w:val="32"/>
        </w:rPr>
      </w:pPr>
      <w:r>
        <w:rPr>
          <w:rFonts w:hint="eastAsia" w:ascii="仿宋_GB2312" w:hAnsi="黑体" w:eastAsia="仿宋_GB2312"/>
          <w:sz w:val="32"/>
          <w:szCs w:val="32"/>
        </w:rPr>
        <w:t>十四、政府预算经济分类支出预算表</w:t>
      </w:r>
    </w:p>
    <w:p>
      <w:pPr>
        <w:rPr>
          <w:rFonts w:hint="eastAsia" w:ascii="黑体" w:hAnsi="黑体" w:eastAsia="黑体"/>
          <w:sz w:val="32"/>
          <w:szCs w:val="32"/>
        </w:rPr>
      </w:pPr>
      <w:r>
        <w:rPr>
          <w:rFonts w:hint="eastAsia" w:ascii="黑体" w:hAnsi="黑体" w:eastAsia="黑体"/>
          <w:sz w:val="32"/>
          <w:szCs w:val="32"/>
        </w:rPr>
        <w:t>第三部分   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pPr>
        <w:rPr>
          <w:rFonts w:hint="eastAsia" w:ascii="黑体" w:hAnsi="黑体" w:eastAsia="黑体"/>
          <w:sz w:val="32"/>
          <w:szCs w:val="32"/>
        </w:rPr>
      </w:pPr>
      <w:r>
        <w:rPr>
          <w:rFonts w:hint="eastAsia" w:ascii="黑体" w:hAnsi="黑体" w:eastAsia="黑体"/>
          <w:sz w:val="32"/>
          <w:szCs w:val="32"/>
        </w:rPr>
        <w:t>第四部分   名词解释</w:t>
      </w:r>
    </w:p>
    <w:p>
      <w:pPr>
        <w:jc w:val="center"/>
        <w:rPr>
          <w:rFonts w:hint="eastAsia" w:ascii="黑体" w:hAnsi="黑体" w:eastAsia="黑体"/>
          <w:b/>
          <w:sz w:val="44"/>
          <w:szCs w:val="44"/>
          <w:u w:val="single"/>
        </w:rPr>
      </w:pPr>
    </w:p>
    <w:p>
      <w:pPr>
        <w:jc w:val="center"/>
        <w:rPr>
          <w:rFonts w:hint="eastAsia"/>
          <w:b/>
          <w:sz w:val="44"/>
          <w:szCs w:val="44"/>
          <w:u w:val="single"/>
        </w:rPr>
      </w:pPr>
    </w:p>
    <w:p>
      <w:pPr>
        <w:rPr>
          <w:rFonts w:hint="eastAsia" w:ascii="黑体" w:eastAsia="黑体"/>
          <w:sz w:val="32"/>
          <w:szCs w:val="32"/>
        </w:rPr>
      </w:pPr>
    </w:p>
    <w:p>
      <w:pPr>
        <w:jc w:val="center"/>
        <w:rPr>
          <w:rFonts w:hint="eastAsia" w:ascii="宋体" w:hAnsi="宋体"/>
          <w:b/>
          <w:sz w:val="32"/>
          <w:szCs w:val="32"/>
        </w:rPr>
      </w:pPr>
      <w:r>
        <w:rPr>
          <w:rFonts w:hint="eastAsia" w:ascii="宋体" w:hAnsi="宋体"/>
          <w:b/>
          <w:sz w:val="32"/>
          <w:szCs w:val="32"/>
        </w:rPr>
        <w:t>第一部分 本溪市</w:t>
      </w:r>
      <w:r>
        <w:rPr>
          <w:rFonts w:hint="eastAsia" w:ascii="黑体" w:hAnsi="黑体" w:eastAsia="黑体"/>
          <w:sz w:val="32"/>
          <w:szCs w:val="32"/>
        </w:rPr>
        <w:t>南芬区</w:t>
      </w:r>
      <w:r>
        <w:rPr>
          <w:rFonts w:hint="eastAsia" w:ascii="黑体" w:hAnsi="黑体" w:eastAsia="黑体"/>
          <w:sz w:val="32"/>
          <w:szCs w:val="32"/>
          <w:lang w:eastAsia="zh-CN"/>
        </w:rPr>
        <w:t>疾病预防控制中心</w:t>
      </w:r>
      <w:r>
        <w:rPr>
          <w:rFonts w:hint="eastAsia" w:ascii="宋体" w:hAnsi="宋体"/>
          <w:b/>
          <w:sz w:val="32"/>
          <w:szCs w:val="32"/>
        </w:rPr>
        <w:t>概况</w:t>
      </w:r>
    </w:p>
    <w:p>
      <w:pPr>
        <w:ind w:firstLine="640" w:firstLineChars="200"/>
        <w:jc w:val="left"/>
        <w:rPr>
          <w:rFonts w:hint="eastAsia" w:ascii="黑体" w:eastAsia="黑体"/>
          <w:sz w:val="32"/>
          <w:szCs w:val="32"/>
        </w:rPr>
      </w:pPr>
    </w:p>
    <w:p>
      <w:pPr>
        <w:widowControl/>
        <w:spacing w:before="100" w:beforeAutospacing="1" w:after="100" w:afterAutospacing="1" w:line="301" w:lineRule="atLeast"/>
        <w:ind w:firstLine="480"/>
        <w:jc w:val="left"/>
        <w:rPr>
          <w:rFonts w:ascii="宋体" w:hAnsi="宋体" w:cs="宋体"/>
          <w:color w:val="000000"/>
          <w:kern w:val="0"/>
          <w:sz w:val="32"/>
          <w:szCs w:val="32"/>
        </w:rPr>
      </w:pPr>
      <w:r>
        <w:rPr>
          <w:rFonts w:hint="eastAsia" w:ascii="黑体" w:eastAsia="黑体"/>
          <w:sz w:val="32"/>
          <w:szCs w:val="32"/>
        </w:rPr>
        <w:t>一、主要职责</w:t>
      </w:r>
      <w:r>
        <w:rPr>
          <w:rFonts w:ascii="宋体" w:hAnsi="宋体" w:cs="宋体"/>
          <w:color w:val="000000"/>
          <w:kern w:val="0"/>
          <w:sz w:val="32"/>
          <w:szCs w:val="32"/>
        </w:rPr>
        <w:t xml:space="preserve"> </w:t>
      </w:r>
    </w:p>
    <w:p>
      <w:pPr>
        <w:widowControl/>
        <w:spacing w:line="480" w:lineRule="auto"/>
        <w:jc w:val="left"/>
        <w:rPr>
          <w:rFonts w:hint="eastAsia" w:ascii="仿宋" w:hAnsi="仿宋" w:eastAsia="仿宋" w:cs="仿宋"/>
          <w:kern w:val="0"/>
          <w:sz w:val="32"/>
          <w:szCs w:val="32"/>
        </w:rPr>
      </w:pPr>
      <w:r>
        <w:rPr>
          <w:rFonts w:hint="eastAsia" w:ascii="仿宋" w:hAnsi="仿宋" w:eastAsia="仿宋" w:cs="仿宋"/>
          <w:b w:val="0"/>
          <w:bCs w:val="0"/>
          <w:sz w:val="32"/>
          <w:szCs w:val="32"/>
        </w:rPr>
        <w:t>1．疾病预防与控制  开展疾病监测；研究传染病、寄生虫病、地方病、非传染性疾病等疾病的分布，探讨疾病的发生、发展的原因和流行规律；提供制订预防控制策略与措施的技术保障；组织实施疾病预防控制工作规划、计划和方案，预防控制相关疾病的发生与流行。2．突发公共卫生事件应急处置  开展突发公共卫生事件处置和救灾防病的应急准备；对突发公共卫生事件、灾后疫病进行监测报告，提供预测预警信息；开展现场调查处置和效果评估。3．疫情及健康相关因素信息管理  管理疾病预防控制信息系统，收集、报告、分析和评价疾病与健康危害因素等公共卫生信息，为疾病预防控制决策提供依据，为社会和公众提供信息服务。4．健康危害因素监测与干预  开展食源性、职业性、辐射性、环境性疾病监测、调查处置和公众营养监测与评价；对生产、生活、工作、学习环境中影响人群健康的危害因素进行监测与评价，提出干预策略与措施，预防控制相关因素对人体健康的危害。5．实验室检测检验与评价  研究、应用实验室检测与分析技术，开展传染性疾病病原微生物的检测检验，开展中毒事件的毒物分析，开展疾病和健康危害因素的生物、物理、化学因子的检测、鉴定和评价，为突发公共卫生事件的应急处置、传染性疾病的诊断、疾病和健康相关危害因素的预防控制及卫生监督执法等提供技术支撑，为社会提供技术服务。6．健康教育与健康促进  开展健康教育、健康促进；普及卫生防病知识，对公众进行健康指导；协同有关部门和组织，对公众不良健康行为进行干预，促进公众掌握自我保健与防护技能。7．技术管理与应用研究指导  开展疾病预防控制工作业务与技术培训，提供技术指导、技术支持和技术服务；开展应用性研究，开发引进和推广应用新技术、新方法；指导和开展疾病预防控制工作绩效考核与评估。</w:t>
      </w:r>
      <w:r>
        <w:rPr>
          <w:rFonts w:hint="eastAsia" w:ascii="仿宋" w:hAnsi="仿宋" w:eastAsia="仿宋" w:cs="仿宋"/>
          <w:b w:val="0"/>
          <w:bCs w:val="0"/>
          <w:color w:val="000000"/>
          <w:sz w:val="32"/>
          <w:szCs w:val="32"/>
          <w:shd w:val="clear" w:color="auto" w:fill="FFFFFF"/>
        </w:rPr>
        <w:t>8、传染病防治监具体项目：传染病疫情监督报告，医疗废物处置情况督导，消毒隔离制度执行情况监督，疫情控制措施监督。9、学校卫生监督具体项目：开展学校传染病防控措施的监督检查，组织学校饮用水卫生监督检查，对教学环境、生活环境（包括学校教学建筑、环境噪声、室内微小气候、采光、照明等质量环境以及黑板、课桌椅的设置）进行卫生监督指导，配合开展突发事件卫生应急工作监督检查，对学生使用的文具、娱乐器具、保健用品实行卫生监督。监管对象：辖区内学校、幼儿园。法律依据：《中华人民共和国传染病防治法》《中</w:t>
      </w:r>
      <w:bookmarkStart w:id="1" w:name="_GoBack"/>
      <w:bookmarkEnd w:id="1"/>
      <w:r>
        <w:rPr>
          <w:rFonts w:hint="eastAsia" w:ascii="仿宋" w:hAnsi="仿宋" w:eastAsia="仿宋" w:cs="仿宋"/>
          <w:b w:val="0"/>
          <w:bCs w:val="0"/>
          <w:color w:val="000000"/>
          <w:sz w:val="32"/>
          <w:szCs w:val="32"/>
          <w:shd w:val="clear" w:color="auto" w:fill="FFFFFF"/>
        </w:rPr>
        <w:t>华人民共和国未成年人保护法》《中华人民共和国传染病防治法实施办法》《学校卫生工作条例》。</w:t>
      </w:r>
      <w:r>
        <w:rPr>
          <w:rFonts w:hint="eastAsia" w:ascii="仿宋" w:hAnsi="仿宋" w:eastAsia="仿宋" w:cs="仿宋"/>
          <w:b w:val="0"/>
          <w:bCs w:val="0"/>
          <w:color w:val="000000"/>
          <w:sz w:val="32"/>
          <w:szCs w:val="32"/>
        </w:rPr>
        <w:br w:type="textWrapping"/>
      </w:r>
      <w:r>
        <w:rPr>
          <w:rFonts w:hint="eastAsia" w:ascii="仿宋" w:hAnsi="仿宋" w:eastAsia="仿宋" w:cs="仿宋"/>
          <w:color w:val="000000"/>
          <w:kern w:val="0"/>
          <w:sz w:val="32"/>
          <w:szCs w:val="32"/>
        </w:rPr>
        <w:t xml:space="preserve">    </w:t>
      </w:r>
    </w:p>
    <w:p>
      <w:pPr>
        <w:ind w:firstLine="640" w:firstLineChars="200"/>
        <w:jc w:val="left"/>
        <w:rPr>
          <w:rFonts w:hint="eastAsia" w:ascii="仿宋_GB2312" w:eastAsia="仿宋_GB2312"/>
          <w:sz w:val="32"/>
          <w:szCs w:val="32"/>
        </w:rPr>
      </w:pPr>
      <w:r>
        <w:rPr>
          <w:rFonts w:hint="eastAsia" w:ascii="黑体" w:eastAsia="黑体"/>
          <w:sz w:val="32"/>
          <w:szCs w:val="32"/>
        </w:rPr>
        <w:t>二、部门预算单位构成</w:t>
      </w:r>
    </w:p>
    <w:p>
      <w:pPr>
        <w:jc w:val="center"/>
        <w:rPr>
          <w:rFonts w:hint="eastAsia" w:ascii="仿宋_GB2312" w:eastAsia="仿宋_GB2312"/>
          <w:sz w:val="32"/>
          <w:szCs w:val="32"/>
        </w:rPr>
      </w:pPr>
      <w:r>
        <w:rPr>
          <w:rFonts w:hint="eastAsia" w:ascii="仿宋_GB2312" w:eastAsia="仿宋_GB2312"/>
          <w:sz w:val="32"/>
          <w:szCs w:val="32"/>
        </w:rPr>
        <w:t xml:space="preserve"> </w:t>
      </w:r>
    </w:p>
    <w:p>
      <w:pPr>
        <w:jc w:val="center"/>
        <w:rPr>
          <w:rFonts w:hint="eastAsia" w:ascii="宋体" w:hAnsi="宋体"/>
          <w:b/>
          <w:sz w:val="32"/>
          <w:szCs w:val="32"/>
        </w:rPr>
      </w:pPr>
      <w:r>
        <w:rPr>
          <w:rFonts w:hint="eastAsia" w:ascii="宋体" w:hAnsi="宋体"/>
          <w:b/>
          <w:sz w:val="32"/>
          <w:szCs w:val="32"/>
        </w:rPr>
        <w:t>第二部分 本溪市</w:t>
      </w:r>
      <w:r>
        <w:rPr>
          <w:rFonts w:hint="eastAsia" w:ascii="黑体" w:hAnsi="黑体" w:eastAsia="黑体"/>
          <w:sz w:val="32"/>
          <w:szCs w:val="32"/>
        </w:rPr>
        <w:t>南芬区</w:t>
      </w:r>
      <w:r>
        <w:rPr>
          <w:rFonts w:hint="eastAsia" w:ascii="黑体" w:hAnsi="黑体" w:eastAsia="黑体"/>
          <w:sz w:val="32"/>
          <w:szCs w:val="32"/>
          <w:lang w:eastAsia="zh-CN"/>
        </w:rPr>
        <w:t>疾病预防控制中心</w:t>
      </w:r>
      <w:r>
        <w:rPr>
          <w:rFonts w:hint="eastAsia" w:ascii="宋体" w:hAnsi="宋体"/>
          <w:b/>
          <w:sz w:val="32"/>
          <w:szCs w:val="32"/>
        </w:rPr>
        <w:t>预算公开表</w:t>
      </w:r>
    </w:p>
    <w:p>
      <w:pPr>
        <w:jc w:val="both"/>
        <w:rPr>
          <w:rFonts w:hint="eastAsia" w:ascii="宋体" w:hAnsi="宋体"/>
          <w:b/>
          <w:sz w:val="32"/>
          <w:szCs w:val="32"/>
        </w:rPr>
      </w:pPr>
    </w:p>
    <w:p>
      <w:pPr>
        <w:tabs>
          <w:tab w:val="left" w:pos="1495"/>
        </w:tabs>
        <w:rPr>
          <w:rFonts w:hint="eastAsia" w:ascii="仿宋_GB2312" w:eastAsia="仿宋_GB2312"/>
          <w:sz w:val="32"/>
          <w:szCs w:val="32"/>
        </w:rPr>
      </w:pPr>
      <w:r>
        <w:rPr>
          <w:rFonts w:ascii="仿宋_GB2312" w:eastAsia="仿宋_GB2312"/>
          <w:sz w:val="32"/>
          <w:szCs w:val="32"/>
        </w:rPr>
        <w:tab/>
      </w:r>
    </w:p>
    <w:p>
      <w:pPr>
        <w:jc w:val="center"/>
        <w:rPr>
          <w:rFonts w:hint="eastAsia" w:ascii="仿宋_GB2312" w:eastAsia="仿宋_GB2312"/>
          <w:b/>
          <w:sz w:val="32"/>
          <w:szCs w:val="32"/>
        </w:rPr>
      </w:pPr>
    </w:p>
    <w:p>
      <w:pPr>
        <w:jc w:val="center"/>
        <w:rPr>
          <w:rFonts w:hint="eastAsia" w:ascii="仿宋_GB2312" w:eastAsia="仿宋_GB2312"/>
          <w:b/>
          <w:sz w:val="32"/>
          <w:szCs w:val="32"/>
        </w:rPr>
      </w:pPr>
    </w:p>
    <w:tbl>
      <w:tblPr>
        <w:tblStyle w:val="3"/>
        <w:tblW w:w="10022" w:type="dxa"/>
        <w:tblInd w:w="87" w:type="dxa"/>
        <w:tblLayout w:type="autofit"/>
        <w:tblCellMar>
          <w:top w:w="0" w:type="dxa"/>
          <w:left w:w="108" w:type="dxa"/>
          <w:bottom w:w="0" w:type="dxa"/>
          <w:right w:w="108" w:type="dxa"/>
        </w:tblCellMar>
      </w:tblPr>
      <w:tblGrid>
        <w:gridCol w:w="1453"/>
        <w:gridCol w:w="843"/>
        <w:gridCol w:w="666"/>
        <w:gridCol w:w="418"/>
        <w:gridCol w:w="531"/>
        <w:gridCol w:w="531"/>
        <w:gridCol w:w="531"/>
        <w:gridCol w:w="531"/>
        <w:gridCol w:w="531"/>
        <w:gridCol w:w="843"/>
        <w:gridCol w:w="843"/>
        <w:gridCol w:w="743"/>
        <w:gridCol w:w="743"/>
        <w:gridCol w:w="815"/>
      </w:tblGrid>
      <w:tr>
        <w:tblPrEx>
          <w:tblCellMar>
            <w:top w:w="0" w:type="dxa"/>
            <w:left w:w="108" w:type="dxa"/>
            <w:bottom w:w="0" w:type="dxa"/>
            <w:right w:w="108" w:type="dxa"/>
          </w:tblCellMar>
        </w:tblPrEx>
        <w:trPr>
          <w:trHeight w:val="409" w:hRule="atLeast"/>
        </w:trPr>
        <w:tc>
          <w:tcPr>
            <w:tcW w:w="145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1084" w:type="dxa"/>
            <w:gridSpan w:val="2"/>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c>
          <w:tcPr>
            <w:tcW w:w="815" w:type="dxa"/>
            <w:tcBorders>
              <w:top w:val="nil"/>
              <w:left w:val="nil"/>
              <w:bottom w:val="nil"/>
              <w:right w:val="nil"/>
            </w:tcBorders>
            <w:shd w:val="clear" w:color="auto" w:fill="auto"/>
            <w:noWrap/>
            <w:vAlign w:val="center"/>
          </w:tcPr>
          <w:p>
            <w:pPr>
              <w:widowControl/>
              <w:jc w:val="right"/>
              <w:rPr>
                <w:rFonts w:ascii="宋体" w:hAnsi="宋体" w:cs="宋体"/>
                <w:b/>
                <w:bCs/>
                <w:kern w:val="0"/>
                <w:sz w:val="20"/>
                <w:szCs w:val="20"/>
              </w:rPr>
            </w:pPr>
          </w:p>
        </w:tc>
      </w:tr>
      <w:tr>
        <w:tblPrEx>
          <w:tblCellMar>
            <w:top w:w="0" w:type="dxa"/>
            <w:left w:w="108" w:type="dxa"/>
            <w:bottom w:w="0" w:type="dxa"/>
            <w:right w:w="108" w:type="dxa"/>
          </w:tblCellMar>
        </w:tblPrEx>
        <w:trPr>
          <w:trHeight w:val="432" w:hRule="atLeast"/>
        </w:trPr>
        <w:tc>
          <w:tcPr>
            <w:tcW w:w="10022" w:type="dxa"/>
            <w:gridSpan w:val="14"/>
            <w:tcBorders>
              <w:top w:val="nil"/>
              <w:left w:val="nil"/>
              <w:bottom w:val="nil"/>
              <w:right w:val="nil"/>
            </w:tcBorders>
            <w:shd w:val="clear" w:color="auto" w:fill="auto"/>
            <w:noWrap/>
            <w:vAlign w:val="bottom"/>
          </w:tcPr>
          <w:p>
            <w:pPr>
              <w:widowControl/>
              <w:jc w:val="center"/>
              <w:rPr>
                <w:rFonts w:ascii="宋体" w:hAnsi="宋体" w:cs="宋体"/>
                <w:b/>
                <w:bCs/>
                <w:kern w:val="0"/>
                <w:sz w:val="36"/>
                <w:szCs w:val="36"/>
              </w:rPr>
            </w:pPr>
          </w:p>
        </w:tc>
      </w:tr>
      <w:tr>
        <w:tblPrEx>
          <w:tblCellMar>
            <w:top w:w="0" w:type="dxa"/>
            <w:left w:w="108" w:type="dxa"/>
            <w:bottom w:w="0" w:type="dxa"/>
            <w:right w:w="108" w:type="dxa"/>
          </w:tblCellMar>
        </w:tblPrEx>
        <w:trPr>
          <w:trHeight w:val="238" w:hRule="atLeast"/>
        </w:trPr>
        <w:tc>
          <w:tcPr>
            <w:tcW w:w="145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666"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949" w:type="dxa"/>
            <w:gridSpan w:val="2"/>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righ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15"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r>
      <w:tr>
        <w:trPr>
          <w:trHeight w:val="261" w:hRule="atLeast"/>
        </w:trPr>
        <w:tc>
          <w:tcPr>
            <w:tcW w:w="1453" w:type="dxa"/>
            <w:tcBorders>
              <w:top w:val="nil"/>
              <w:left w:val="nil"/>
              <w:bottom w:val="nil"/>
              <w:right w:val="nil"/>
            </w:tcBorders>
            <w:shd w:val="clear" w:color="auto" w:fill="auto"/>
            <w:noWrap/>
            <w:vAlign w:val="center"/>
          </w:tcPr>
          <w:p>
            <w:pPr>
              <w:widowControl/>
              <w:jc w:val="lef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666"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949" w:type="dxa"/>
            <w:gridSpan w:val="2"/>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531"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743" w:type="dxa"/>
            <w:tcBorders>
              <w:top w:val="nil"/>
              <w:left w:val="nil"/>
              <w:bottom w:val="nil"/>
              <w:right w:val="nil"/>
            </w:tcBorders>
            <w:shd w:val="clear" w:color="auto" w:fill="auto"/>
            <w:noWrap/>
            <w:vAlign w:val="bottom"/>
          </w:tcPr>
          <w:p>
            <w:pPr>
              <w:widowControl/>
              <w:jc w:val="left"/>
              <w:rPr>
                <w:rFonts w:ascii="宋体" w:hAnsi="宋体" w:cs="宋体"/>
                <w:kern w:val="0"/>
                <w:sz w:val="20"/>
                <w:szCs w:val="20"/>
              </w:rPr>
            </w:pPr>
          </w:p>
        </w:tc>
        <w:tc>
          <w:tcPr>
            <w:tcW w:w="815" w:type="dxa"/>
            <w:tcBorders>
              <w:top w:val="nil"/>
              <w:left w:val="nil"/>
              <w:bottom w:val="nil"/>
              <w:right w:val="nil"/>
            </w:tcBorders>
            <w:shd w:val="clear" w:color="auto" w:fill="auto"/>
            <w:noWrap/>
            <w:vAlign w:val="center"/>
          </w:tcPr>
          <w:p>
            <w:pPr>
              <w:widowControl/>
              <w:jc w:val="right"/>
              <w:rPr>
                <w:rFonts w:ascii="宋体" w:hAnsi="宋体" w:cs="宋体"/>
                <w:b/>
                <w:bCs/>
                <w:kern w:val="0"/>
                <w:sz w:val="20"/>
                <w:szCs w:val="20"/>
              </w:rPr>
            </w:pPr>
          </w:p>
        </w:tc>
      </w:tr>
    </w:tbl>
    <w:p>
      <w:pPr>
        <w:jc w:val="center"/>
        <w:rPr>
          <w:rFonts w:hint="eastAsia" w:ascii="仿宋_GB2312" w:eastAsia="仿宋_GB2312"/>
          <w:b/>
          <w:sz w:val="32"/>
          <w:szCs w:val="32"/>
        </w:rPr>
      </w:pPr>
    </w:p>
    <w:p>
      <w:pPr>
        <w:jc w:val="center"/>
        <w:rPr>
          <w:rFonts w:hint="eastAsia" w:ascii="黑体" w:eastAsia="黑体"/>
          <w:sz w:val="32"/>
          <w:szCs w:val="32"/>
        </w:rPr>
      </w:pPr>
    </w:p>
    <w:p>
      <w:pPr>
        <w:rPr>
          <w:rFonts w:hint="eastAsia" w:ascii="黑体" w:eastAsia="黑体"/>
          <w:sz w:val="36"/>
          <w:szCs w:val="36"/>
        </w:rPr>
      </w:pPr>
    </w:p>
    <w:p>
      <w:pPr>
        <w:jc w:val="center"/>
        <w:rPr>
          <w:rFonts w:hint="eastAsia" w:ascii="宋体" w:hAnsi="宋体"/>
          <w:b/>
          <w:sz w:val="36"/>
          <w:szCs w:val="36"/>
        </w:rPr>
      </w:pPr>
    </w:p>
    <w:tbl>
      <w:tblPr>
        <w:tblStyle w:val="3"/>
        <w:tblW w:w="15157" w:type="dxa"/>
        <w:tblInd w:w="87" w:type="dxa"/>
        <w:tblLayout w:type="autofit"/>
        <w:tblCellMar>
          <w:top w:w="0" w:type="dxa"/>
          <w:left w:w="108" w:type="dxa"/>
          <w:bottom w:w="0" w:type="dxa"/>
          <w:right w:w="108" w:type="dxa"/>
        </w:tblCellMar>
      </w:tblPr>
      <w:tblGrid>
        <w:gridCol w:w="3496"/>
        <w:gridCol w:w="2680"/>
        <w:gridCol w:w="2694"/>
        <w:gridCol w:w="2717"/>
        <w:gridCol w:w="2670"/>
        <w:gridCol w:w="900"/>
      </w:tblGrid>
      <w:tr>
        <w:tblPrEx>
          <w:tblCellMar>
            <w:top w:w="0" w:type="dxa"/>
            <w:left w:w="108" w:type="dxa"/>
            <w:bottom w:w="0" w:type="dxa"/>
            <w:right w:w="108" w:type="dxa"/>
          </w:tblCellMar>
        </w:tblPrEx>
        <w:trPr>
          <w:trHeight w:val="563" w:hRule="atLeast"/>
        </w:trPr>
        <w:tc>
          <w:tcPr>
            <w:tcW w:w="15157" w:type="dxa"/>
            <w:gridSpan w:val="6"/>
            <w:tcBorders>
              <w:top w:val="nil"/>
              <w:left w:val="nil"/>
              <w:bottom w:val="nil"/>
              <w:right w:val="nil"/>
            </w:tcBorders>
            <w:shd w:val="clear" w:color="auto" w:fill="auto"/>
            <w:noWrap/>
            <w:vAlign w:val="center"/>
          </w:tcPr>
          <w:p>
            <w:pPr>
              <w:widowControl/>
              <w:jc w:val="left"/>
              <w:rPr>
                <w:rFonts w:ascii="宋体" w:hAnsi="宋体" w:cs="宋体"/>
                <w:b/>
                <w:bCs/>
                <w:kern w:val="0"/>
                <w:sz w:val="36"/>
                <w:szCs w:val="36"/>
              </w:rPr>
            </w:pPr>
          </w:p>
        </w:tc>
      </w:tr>
      <w:tr>
        <w:tblPrEx>
          <w:tblCellMar>
            <w:top w:w="0" w:type="dxa"/>
            <w:left w:w="108" w:type="dxa"/>
            <w:bottom w:w="0" w:type="dxa"/>
            <w:right w:w="108" w:type="dxa"/>
          </w:tblCellMar>
        </w:tblPrEx>
        <w:trPr>
          <w:trHeight w:val="335" w:hRule="atLeast"/>
        </w:trPr>
        <w:tc>
          <w:tcPr>
            <w:tcW w:w="3496"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680" w:type="dxa"/>
            <w:tcBorders>
              <w:top w:val="nil"/>
              <w:left w:val="nil"/>
              <w:bottom w:val="nil"/>
              <w:right w:val="nil"/>
            </w:tcBorders>
            <w:shd w:val="clear" w:color="auto" w:fill="auto"/>
            <w:noWrap/>
            <w:vAlign w:val="bottom"/>
          </w:tcPr>
          <w:p>
            <w:pPr>
              <w:widowControl/>
              <w:jc w:val="center"/>
              <w:rPr>
                <w:rFonts w:ascii="宋体" w:hAnsi="宋体" w:cs="宋体"/>
                <w:b/>
                <w:bCs/>
                <w:kern w:val="0"/>
                <w:sz w:val="20"/>
                <w:szCs w:val="20"/>
              </w:rPr>
            </w:pPr>
          </w:p>
        </w:tc>
        <w:tc>
          <w:tcPr>
            <w:tcW w:w="2694" w:type="dxa"/>
            <w:tcBorders>
              <w:top w:val="nil"/>
              <w:left w:val="nil"/>
              <w:bottom w:val="nil"/>
              <w:right w:val="nil"/>
            </w:tcBorders>
            <w:shd w:val="clear" w:color="auto" w:fill="auto"/>
            <w:noWrap/>
            <w:vAlign w:val="bottom"/>
          </w:tcPr>
          <w:p>
            <w:pPr>
              <w:widowControl/>
              <w:jc w:val="center"/>
              <w:rPr>
                <w:rFonts w:ascii="宋体" w:hAnsi="宋体" w:cs="宋体"/>
                <w:b/>
                <w:bCs/>
                <w:kern w:val="0"/>
                <w:sz w:val="20"/>
                <w:szCs w:val="20"/>
              </w:rPr>
            </w:pPr>
          </w:p>
        </w:tc>
        <w:tc>
          <w:tcPr>
            <w:tcW w:w="2717"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670" w:type="dxa"/>
            <w:tcBorders>
              <w:top w:val="nil"/>
              <w:left w:val="nil"/>
              <w:bottom w:val="nil"/>
              <w:right w:val="nil"/>
            </w:tcBorders>
            <w:shd w:val="clear" w:color="auto" w:fill="auto"/>
            <w:noWrap/>
            <w:vAlign w:val="bottom"/>
          </w:tcPr>
          <w:p>
            <w:pPr>
              <w:widowControl/>
              <w:jc w:val="center"/>
              <w:rPr>
                <w:rFonts w:ascii="宋体" w:hAnsi="宋体" w:cs="宋体"/>
                <w:b/>
                <w:bCs/>
                <w:kern w:val="0"/>
                <w:sz w:val="20"/>
                <w:szCs w:val="20"/>
              </w:rPr>
            </w:pPr>
          </w:p>
        </w:tc>
        <w:tc>
          <w:tcPr>
            <w:tcW w:w="900" w:type="dxa"/>
            <w:tcBorders>
              <w:top w:val="nil"/>
              <w:left w:val="nil"/>
              <w:bottom w:val="nil"/>
              <w:right w:val="nil"/>
            </w:tcBorders>
            <w:shd w:val="clear" w:color="auto" w:fill="auto"/>
            <w:noWrap/>
            <w:vAlign w:val="bottom"/>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35" w:hRule="atLeast"/>
        </w:trPr>
        <w:tc>
          <w:tcPr>
            <w:tcW w:w="3496"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680"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694"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717" w:type="dxa"/>
            <w:tcBorders>
              <w:top w:val="nil"/>
              <w:left w:val="nil"/>
              <w:bottom w:val="nil"/>
              <w:right w:val="nil"/>
            </w:tcBorders>
            <w:shd w:val="clear" w:color="auto" w:fill="auto"/>
            <w:noWrap/>
            <w:vAlign w:val="bottom"/>
          </w:tcPr>
          <w:p>
            <w:pPr>
              <w:widowControl/>
              <w:jc w:val="left"/>
              <w:rPr>
                <w:rFonts w:ascii="宋体" w:hAnsi="宋体" w:cs="宋体"/>
                <w:b/>
                <w:bCs/>
                <w:kern w:val="0"/>
                <w:sz w:val="20"/>
                <w:szCs w:val="20"/>
              </w:rPr>
            </w:pPr>
          </w:p>
        </w:tc>
        <w:tc>
          <w:tcPr>
            <w:tcW w:w="2670" w:type="dxa"/>
            <w:tcBorders>
              <w:top w:val="nil"/>
              <w:left w:val="nil"/>
              <w:bottom w:val="nil"/>
              <w:right w:val="nil"/>
            </w:tcBorders>
            <w:shd w:val="clear" w:color="auto" w:fill="auto"/>
            <w:noWrap/>
            <w:vAlign w:val="center"/>
          </w:tcPr>
          <w:p>
            <w:pPr>
              <w:widowControl/>
              <w:jc w:val="center"/>
              <w:rPr>
                <w:rFonts w:ascii="宋体" w:hAnsi="宋体" w:cs="宋体"/>
                <w:b/>
                <w:bCs/>
                <w:kern w:val="0"/>
                <w:sz w:val="20"/>
                <w:szCs w:val="20"/>
              </w:rPr>
            </w:pPr>
          </w:p>
        </w:tc>
        <w:tc>
          <w:tcPr>
            <w:tcW w:w="900" w:type="dxa"/>
            <w:tcBorders>
              <w:top w:val="nil"/>
              <w:left w:val="nil"/>
              <w:bottom w:val="single" w:color="auto" w:sz="4" w:space="0"/>
              <w:right w:val="nil"/>
            </w:tcBorders>
            <w:shd w:val="clear" w:color="auto" w:fill="auto"/>
            <w:noWrap/>
            <w:vAlign w:val="center"/>
          </w:tcPr>
          <w:p>
            <w:pPr>
              <w:widowControl/>
              <w:jc w:val="right"/>
              <w:rPr>
                <w:rFonts w:ascii="宋体" w:hAnsi="宋体" w:cs="宋体"/>
                <w:b/>
                <w:bCs/>
                <w:kern w:val="0"/>
                <w:sz w:val="20"/>
                <w:szCs w:val="20"/>
              </w:rPr>
            </w:pPr>
          </w:p>
        </w:tc>
      </w:tr>
    </w:tbl>
    <w:p>
      <w:pPr>
        <w:rPr>
          <w:rFonts w:hint="eastAsia" w:ascii="宋体" w:hAnsi="宋体"/>
          <w:b/>
          <w:bCs w:val="0"/>
          <w:sz w:val="30"/>
          <w:szCs w:val="30"/>
        </w:rPr>
      </w:pPr>
      <w:r>
        <w:rPr>
          <w:rFonts w:hint="eastAsia" w:ascii="宋体" w:hAnsi="宋体"/>
          <w:b/>
          <w:sz w:val="36"/>
          <w:szCs w:val="36"/>
        </w:rPr>
        <w:t xml:space="preserve">           </w:t>
      </w:r>
      <w:r>
        <w:rPr>
          <w:rFonts w:hint="eastAsia" w:ascii="宋体" w:hAnsi="宋体"/>
          <w:b/>
          <w:bCs w:val="0"/>
          <w:sz w:val="30"/>
          <w:szCs w:val="30"/>
        </w:rPr>
        <w:t>第三部分 本溪市</w:t>
      </w:r>
      <w:r>
        <w:rPr>
          <w:rFonts w:hint="eastAsia" w:ascii="黑体" w:hAnsi="黑体" w:eastAsia="黑体"/>
          <w:b/>
          <w:bCs w:val="0"/>
          <w:sz w:val="30"/>
          <w:szCs w:val="30"/>
        </w:rPr>
        <w:t>南芬区</w:t>
      </w:r>
      <w:r>
        <w:rPr>
          <w:rFonts w:hint="eastAsia" w:ascii="黑体" w:hAnsi="黑体" w:eastAsia="黑体"/>
          <w:b/>
          <w:bCs w:val="0"/>
          <w:sz w:val="30"/>
          <w:szCs w:val="30"/>
          <w:lang w:eastAsia="zh-CN"/>
        </w:rPr>
        <w:t>疾病预防控制中心</w:t>
      </w:r>
      <w:r>
        <w:rPr>
          <w:rFonts w:hint="eastAsia" w:ascii="宋体" w:hAnsi="宋体"/>
          <w:b/>
          <w:bCs w:val="0"/>
          <w:sz w:val="30"/>
          <w:szCs w:val="30"/>
        </w:rPr>
        <w:t>202</w:t>
      </w:r>
      <w:r>
        <w:rPr>
          <w:rFonts w:hint="eastAsia" w:ascii="宋体" w:hAnsi="宋体"/>
          <w:b/>
          <w:bCs w:val="0"/>
          <w:sz w:val="30"/>
          <w:szCs w:val="30"/>
          <w:lang w:val="en-US" w:eastAsia="zh-CN"/>
        </w:rPr>
        <w:t>2</w:t>
      </w:r>
      <w:r>
        <w:rPr>
          <w:rFonts w:hint="eastAsia" w:ascii="宋体" w:hAnsi="宋体"/>
          <w:b/>
          <w:bCs w:val="0"/>
          <w:sz w:val="30"/>
          <w:szCs w:val="30"/>
        </w:rPr>
        <w:t>年部门预算情况说明</w:t>
      </w:r>
    </w:p>
    <w:p>
      <w:pPr>
        <w:rPr>
          <w:rFonts w:hint="eastAsia" w:ascii="宋体" w:hAnsi="宋体"/>
          <w:b/>
          <w:sz w:val="36"/>
          <w:szCs w:val="36"/>
        </w:rPr>
      </w:pPr>
    </w:p>
    <w:p>
      <w:pPr>
        <w:numPr>
          <w:ilvl w:val="0"/>
          <w:numId w:val="2"/>
        </w:numPr>
        <w:ind w:firstLine="627" w:firstLineChars="196"/>
        <w:rPr>
          <w:rFonts w:hint="eastAsia" w:ascii="黑体" w:hAnsi="黑体" w:eastAsia="黑体"/>
          <w:sz w:val="32"/>
          <w:szCs w:val="32"/>
        </w:rPr>
      </w:pPr>
      <w:r>
        <w:rPr>
          <w:rFonts w:hint="eastAsia" w:ascii="黑体" w:hAnsi="黑体" w:eastAsia="黑体"/>
          <w:sz w:val="32"/>
          <w:szCs w:val="32"/>
        </w:rPr>
        <w:t>关于本溪市南芬区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年收支预算的总体说明</w:t>
      </w:r>
    </w:p>
    <w:p>
      <w:pPr>
        <w:ind w:firstLine="660"/>
        <w:rPr>
          <w:rFonts w:ascii="仿宋" w:hAnsi="仿宋" w:eastAsia="仿宋"/>
          <w:sz w:val="32"/>
          <w:szCs w:val="32"/>
        </w:rPr>
      </w:pPr>
      <w:r>
        <w:rPr>
          <w:rFonts w:hint="eastAsia" w:ascii="仿宋" w:hAnsi="仿宋" w:eastAsia="仿宋"/>
          <w:sz w:val="32"/>
          <w:szCs w:val="32"/>
        </w:rPr>
        <w:t>按照综合预算的原则，本溪市南芬区</w:t>
      </w:r>
      <w:r>
        <w:rPr>
          <w:rFonts w:hint="eastAsia" w:ascii="仿宋" w:hAnsi="仿宋" w:eastAsia="仿宋"/>
          <w:sz w:val="32"/>
          <w:szCs w:val="32"/>
          <w:lang w:val="en-US" w:eastAsia="zh-CN"/>
        </w:rPr>
        <w:t>疾病预防控制中心</w:t>
      </w:r>
      <w:r>
        <w:rPr>
          <w:rFonts w:hint="eastAsia" w:ascii="仿宋" w:hAnsi="仿宋" w:eastAsia="仿宋"/>
          <w:sz w:val="32"/>
          <w:szCs w:val="32"/>
        </w:rPr>
        <w:t>所有收入和支出均纳入部门预算管理。收入包括：财政拨款收入；支出包括：一般公共服务支出、</w:t>
      </w:r>
      <w:r>
        <w:rPr>
          <w:rFonts w:hint="eastAsia" w:ascii="仿宋" w:hAnsi="仿宋" w:eastAsia="仿宋"/>
          <w:sz w:val="32"/>
          <w:szCs w:val="32"/>
          <w:lang w:eastAsia="zh-CN"/>
        </w:rPr>
        <w:t>商品和服务支出、对个人和家庭的补助</w:t>
      </w:r>
      <w:r>
        <w:rPr>
          <w:rFonts w:hint="eastAsia" w:ascii="仿宋" w:hAnsi="仿宋" w:eastAsia="仿宋"/>
          <w:sz w:val="32"/>
          <w:szCs w:val="32"/>
        </w:rPr>
        <w:t>支出等。南芬区</w:t>
      </w:r>
      <w:r>
        <w:rPr>
          <w:rFonts w:hint="eastAsia" w:ascii="仿宋" w:hAnsi="仿宋" w:eastAsia="仿宋"/>
          <w:sz w:val="32"/>
          <w:szCs w:val="32"/>
          <w:lang w:eastAsia="zh-CN"/>
        </w:rPr>
        <w:t>疾病预防控制中心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年收支总预算</w:t>
      </w:r>
      <w:r>
        <w:rPr>
          <w:rFonts w:hint="eastAsia" w:ascii="仿宋" w:hAnsi="仿宋" w:eastAsia="仿宋"/>
          <w:sz w:val="32"/>
          <w:szCs w:val="32"/>
          <w:lang w:val="en-US" w:eastAsia="zh-CN"/>
        </w:rPr>
        <w:t>224.12</w:t>
      </w:r>
      <w:r>
        <w:rPr>
          <w:rFonts w:hint="eastAsia" w:ascii="仿宋" w:hAnsi="仿宋" w:eastAsia="仿宋"/>
          <w:sz w:val="32"/>
          <w:szCs w:val="32"/>
        </w:rPr>
        <w:t>万元。</w:t>
      </w:r>
    </w:p>
    <w:p>
      <w:pPr>
        <w:numPr>
          <w:ilvl w:val="0"/>
          <w:numId w:val="0"/>
        </w:numPr>
        <w:rPr>
          <w:rFonts w:hint="eastAsia" w:ascii="黑体" w:hAnsi="黑体" w:eastAsia="黑体"/>
          <w:sz w:val="32"/>
          <w:szCs w:val="32"/>
        </w:rPr>
      </w:pPr>
    </w:p>
    <w:p>
      <w:pPr>
        <w:numPr>
          <w:ilvl w:val="0"/>
          <w:numId w:val="2"/>
        </w:numPr>
        <w:ind w:left="0" w:leftChars="0" w:firstLine="627" w:firstLineChars="196"/>
        <w:rPr>
          <w:rFonts w:hint="eastAsia" w:ascii="黑体" w:hAnsi="黑体" w:eastAsia="黑体"/>
          <w:sz w:val="32"/>
          <w:szCs w:val="32"/>
        </w:rPr>
      </w:pPr>
      <w:r>
        <w:rPr>
          <w:rFonts w:hint="eastAsia" w:ascii="黑体" w:hAnsi="黑体" w:eastAsia="黑体"/>
          <w:sz w:val="32"/>
          <w:szCs w:val="32"/>
        </w:rPr>
        <w:t>关于本溪市南芬区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年“三公”经费预算情况说明</w:t>
      </w:r>
    </w:p>
    <w:p>
      <w:pPr>
        <w:ind w:firstLine="660"/>
        <w:rPr>
          <w:rFonts w:ascii="仿宋" w:hAnsi="仿宋" w:eastAsia="仿宋"/>
          <w:sz w:val="32"/>
          <w:szCs w:val="32"/>
        </w:rPr>
      </w:pPr>
      <w:r>
        <w:rPr>
          <w:rFonts w:hint="eastAsia" w:ascii="仿宋" w:hAnsi="仿宋" w:eastAsia="仿宋"/>
          <w:sz w:val="32"/>
          <w:szCs w:val="32"/>
          <w:lang w:eastAsia="zh-CN"/>
        </w:rPr>
        <w:t>南芬区疾病预防控制中心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年“三公”经费预算</w:t>
      </w:r>
      <w:r>
        <w:rPr>
          <w:rFonts w:hint="eastAsia" w:ascii="仿宋" w:hAnsi="仿宋" w:eastAsia="仿宋"/>
          <w:sz w:val="32"/>
          <w:szCs w:val="32"/>
          <w:lang w:eastAsia="zh-CN"/>
        </w:rPr>
        <w:t>支出为</w:t>
      </w:r>
      <w:r>
        <w:rPr>
          <w:rFonts w:hint="eastAsia" w:ascii="仿宋" w:hAnsi="仿宋" w:eastAsia="仿宋"/>
          <w:sz w:val="32"/>
          <w:szCs w:val="32"/>
          <w:lang w:val="en-US" w:eastAsia="zh-CN"/>
        </w:rPr>
        <w:t>0.5万元</w:t>
      </w:r>
      <w:r>
        <w:rPr>
          <w:rFonts w:hint="eastAsia" w:ascii="仿宋" w:hAnsi="仿宋" w:eastAsia="仿宋"/>
          <w:sz w:val="32"/>
          <w:szCs w:val="32"/>
        </w:rPr>
        <w:t>。</w:t>
      </w:r>
    </w:p>
    <w:p>
      <w:pPr>
        <w:numPr>
          <w:ilvl w:val="0"/>
          <w:numId w:val="0"/>
        </w:numPr>
        <w:ind w:leftChars="196"/>
        <w:rPr>
          <w:rFonts w:hint="eastAsia" w:ascii="黑体" w:hAnsi="黑体" w:eastAsia="黑体"/>
          <w:sz w:val="32"/>
          <w:szCs w:val="32"/>
        </w:rPr>
      </w:pPr>
    </w:p>
    <w:p>
      <w:pPr>
        <w:numPr>
          <w:ilvl w:val="0"/>
          <w:numId w:val="2"/>
        </w:numPr>
        <w:ind w:left="0" w:leftChars="0" w:firstLine="627" w:firstLineChars="196"/>
        <w:jc w:val="left"/>
        <w:rPr>
          <w:rFonts w:hint="eastAsia" w:ascii="黑体" w:hAnsi="黑体" w:eastAsia="黑体"/>
          <w:sz w:val="32"/>
          <w:szCs w:val="32"/>
        </w:rPr>
      </w:pPr>
      <w:r>
        <w:rPr>
          <w:rFonts w:hint="eastAsia" w:ascii="黑体" w:hAnsi="黑体" w:eastAsia="黑体"/>
          <w:sz w:val="32"/>
          <w:szCs w:val="32"/>
        </w:rPr>
        <w:t>关于本溪市南芬区</w:t>
      </w:r>
      <w:r>
        <w:rPr>
          <w:rFonts w:hint="eastAsia" w:ascii="黑体" w:hAnsi="黑体" w:eastAsia="黑体"/>
          <w:sz w:val="32"/>
          <w:szCs w:val="32"/>
          <w:lang w:eastAsia="zh-CN"/>
        </w:rPr>
        <w:t>疾病预防控制中心</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年政府性基金预算支出情况</w:t>
      </w:r>
    </w:p>
    <w:p>
      <w:pPr>
        <w:ind w:firstLine="640" w:firstLineChars="200"/>
        <w:rPr>
          <w:rFonts w:ascii="仿宋" w:hAnsi="仿宋" w:eastAsia="仿宋"/>
          <w:sz w:val="32"/>
          <w:szCs w:val="32"/>
        </w:rPr>
      </w:pPr>
      <w:r>
        <w:rPr>
          <w:rFonts w:hint="eastAsia" w:ascii="仿宋" w:hAnsi="仿宋" w:eastAsia="仿宋"/>
          <w:sz w:val="32"/>
          <w:szCs w:val="32"/>
        </w:rPr>
        <w:t>南芬区</w:t>
      </w:r>
      <w:r>
        <w:rPr>
          <w:rFonts w:hint="eastAsia" w:ascii="仿宋" w:hAnsi="仿宋" w:eastAsia="仿宋"/>
          <w:sz w:val="32"/>
          <w:szCs w:val="32"/>
          <w:lang w:eastAsia="zh-CN"/>
        </w:rPr>
        <w:t>疾病预防控制中心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年没有使用政府性基金预算拨款安排的支出。</w:t>
      </w:r>
    </w:p>
    <w:p>
      <w:pPr>
        <w:numPr>
          <w:ilvl w:val="0"/>
          <w:numId w:val="0"/>
        </w:numPr>
        <w:ind w:leftChars="196"/>
        <w:jc w:val="left"/>
        <w:rPr>
          <w:rFonts w:hint="eastAsia" w:ascii="黑体" w:hAnsi="黑体" w:eastAsia="黑体"/>
          <w:sz w:val="32"/>
          <w:szCs w:val="32"/>
        </w:rPr>
      </w:pPr>
    </w:p>
    <w:p>
      <w:pPr>
        <w:numPr>
          <w:ilvl w:val="0"/>
          <w:numId w:val="2"/>
        </w:numPr>
        <w:ind w:left="0" w:leftChars="0" w:firstLine="627" w:firstLineChars="196"/>
        <w:rPr>
          <w:rFonts w:hint="eastAsia" w:ascii="黑体" w:hAnsi="宋体" w:eastAsia="黑体"/>
          <w:sz w:val="32"/>
          <w:szCs w:val="32"/>
        </w:rPr>
      </w:pPr>
      <w:r>
        <w:rPr>
          <w:rFonts w:hint="eastAsia" w:ascii="黑体" w:hAnsi="宋体" w:eastAsia="黑体"/>
          <w:sz w:val="32"/>
          <w:szCs w:val="32"/>
        </w:rPr>
        <w:t>关于本溪市南芬区</w:t>
      </w:r>
      <w:r>
        <w:rPr>
          <w:rFonts w:hint="eastAsia" w:ascii="黑体" w:hAnsi="黑体" w:eastAsia="黑体"/>
          <w:sz w:val="32"/>
          <w:szCs w:val="32"/>
          <w:lang w:eastAsia="zh-CN"/>
        </w:rPr>
        <w:t>疾病预防控制中心</w:t>
      </w:r>
      <w:r>
        <w:rPr>
          <w:rFonts w:hint="eastAsia" w:ascii="黑体" w:hAnsi="宋体" w:eastAsia="黑体"/>
          <w:sz w:val="32"/>
          <w:szCs w:val="32"/>
        </w:rPr>
        <w:t>202</w:t>
      </w:r>
      <w:r>
        <w:rPr>
          <w:rFonts w:hint="eastAsia" w:ascii="黑体" w:hAnsi="宋体" w:eastAsia="黑体"/>
          <w:sz w:val="32"/>
          <w:szCs w:val="32"/>
          <w:lang w:val="en-US" w:eastAsia="zh-CN"/>
        </w:rPr>
        <w:t>2</w:t>
      </w:r>
      <w:r>
        <w:rPr>
          <w:rFonts w:hint="eastAsia" w:ascii="黑体" w:hAnsi="宋体" w:eastAsia="黑体"/>
          <w:sz w:val="32"/>
          <w:szCs w:val="32"/>
        </w:rPr>
        <w:t>年收支预算变化情况</w:t>
      </w:r>
    </w:p>
    <w:p>
      <w:pPr>
        <w:ind w:firstLine="645"/>
        <w:rPr>
          <w:rFonts w:ascii="仿宋" w:hAnsi="仿宋" w:eastAsia="仿宋"/>
          <w:sz w:val="32"/>
          <w:szCs w:val="32"/>
        </w:rPr>
      </w:pPr>
      <w:r>
        <w:rPr>
          <w:rFonts w:hint="eastAsia" w:ascii="仿宋" w:hAnsi="仿宋" w:eastAsia="仿宋"/>
          <w:sz w:val="32"/>
          <w:szCs w:val="32"/>
          <w:lang w:eastAsia="zh-CN"/>
        </w:rPr>
        <w:t>南芬区疾病预防控制中心</w:t>
      </w:r>
      <w:r>
        <w:rPr>
          <w:rFonts w:hint="eastAsia" w:ascii="仿宋" w:hAnsi="仿宋" w:eastAsia="仿宋"/>
          <w:sz w:val="32"/>
          <w:szCs w:val="32"/>
          <w:lang w:val="en-US" w:eastAsia="zh-CN"/>
        </w:rPr>
        <w:t>2022年财政预算总收支224.12万元，2021年财政预算总收支199.3万元，收支增减情况说明人员经费增加（新增劳务派遣人员6名）</w:t>
      </w:r>
      <w:r>
        <w:rPr>
          <w:rFonts w:hint="eastAsia" w:ascii="仿宋" w:hAnsi="仿宋" w:eastAsia="仿宋"/>
          <w:sz w:val="32"/>
          <w:szCs w:val="32"/>
        </w:rPr>
        <w:t>。</w:t>
      </w:r>
    </w:p>
    <w:p>
      <w:pPr>
        <w:rPr>
          <w:rFonts w:hint="eastAsia" w:ascii="黑体" w:hAnsi="黑体" w:eastAsia="黑体"/>
          <w:sz w:val="32"/>
          <w:szCs w:val="32"/>
        </w:rPr>
      </w:pPr>
      <w:r>
        <w:rPr>
          <w:rFonts w:hint="eastAsia" w:ascii="宋体" w:hAnsi="宋体"/>
          <w:b/>
          <w:sz w:val="32"/>
          <w:szCs w:val="32"/>
          <w:lang w:val="en-US" w:eastAsia="zh-CN"/>
        </w:rPr>
        <w:t xml:space="preserve"> </w:t>
      </w:r>
      <w:r>
        <w:rPr>
          <w:rFonts w:hint="eastAsia" w:ascii="黑体" w:hAnsi="黑体" w:eastAsia="黑体"/>
          <w:sz w:val="32"/>
          <w:szCs w:val="32"/>
        </w:rPr>
        <w:t>五、其他重要事项的情况说明</w:t>
      </w:r>
    </w:p>
    <w:p>
      <w:pPr>
        <w:ind w:firstLine="645"/>
        <w:rPr>
          <w:rFonts w:hint="eastAsia" w:ascii="仿宋_GB2312" w:hAnsi="宋体" w:eastAsia="仿宋_GB2312"/>
          <w:sz w:val="32"/>
          <w:szCs w:val="32"/>
        </w:rPr>
      </w:pPr>
      <w:r>
        <w:rPr>
          <w:rFonts w:hint="eastAsia" w:ascii="仿宋_GB2312" w:hAnsi="宋体" w:eastAsia="仿宋_GB2312"/>
          <w:sz w:val="32"/>
          <w:szCs w:val="32"/>
        </w:rPr>
        <w:t>（一）公用经费支出情况</w:t>
      </w:r>
    </w:p>
    <w:p>
      <w:pPr>
        <w:ind w:firstLine="645"/>
        <w:rPr>
          <w:rFonts w:hint="eastAsia" w:ascii="仿宋_GB2312" w:hAnsi="宋体" w:eastAsia="仿宋_GB2312"/>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eastAsia="zh-CN"/>
        </w:rPr>
        <w:t>疾病预防控制中心</w:t>
      </w:r>
      <w:r>
        <w:rPr>
          <w:rFonts w:hint="eastAsia" w:ascii="仿宋" w:hAnsi="仿宋" w:eastAsia="仿宋"/>
          <w:sz w:val="32"/>
          <w:szCs w:val="32"/>
        </w:rPr>
        <w:t>公用经费预算支出</w:t>
      </w:r>
      <w:r>
        <w:rPr>
          <w:rFonts w:hint="eastAsia" w:ascii="仿宋" w:hAnsi="仿宋" w:eastAsia="仿宋"/>
          <w:sz w:val="32"/>
          <w:szCs w:val="32"/>
          <w:lang w:val="en-US" w:eastAsia="zh-CN"/>
        </w:rPr>
        <w:t>10.1</w:t>
      </w:r>
      <w:r>
        <w:rPr>
          <w:rFonts w:hint="eastAsia" w:ascii="仿宋" w:hAnsi="仿宋" w:eastAsia="仿宋"/>
          <w:sz w:val="32"/>
          <w:szCs w:val="32"/>
        </w:rPr>
        <w:t>万元</w:t>
      </w:r>
    </w:p>
    <w:p>
      <w:pPr>
        <w:numPr>
          <w:ilvl w:val="0"/>
          <w:numId w:val="3"/>
        </w:numPr>
        <w:ind w:firstLine="645"/>
        <w:rPr>
          <w:rFonts w:hint="eastAsia" w:ascii="仿宋_GB2312" w:hAnsi="宋体" w:eastAsia="仿宋_GB2312"/>
          <w:sz w:val="32"/>
          <w:szCs w:val="32"/>
        </w:rPr>
      </w:pPr>
      <w:r>
        <w:rPr>
          <w:rFonts w:hint="eastAsia" w:ascii="仿宋_GB2312" w:hAnsi="宋体" w:eastAsia="仿宋_GB2312"/>
          <w:sz w:val="32"/>
          <w:szCs w:val="32"/>
        </w:rPr>
        <w:t>政府采购支出情况</w:t>
      </w:r>
      <w:r>
        <w:rPr>
          <w:rFonts w:hint="eastAsia" w:ascii="仿宋_GB2312" w:hAnsi="宋体" w:eastAsia="仿宋_GB2312"/>
          <w:sz w:val="32"/>
          <w:szCs w:val="32"/>
          <w:lang w:val="en-US" w:eastAsia="zh-CN"/>
        </w:rPr>
        <w:t xml:space="preserve">   无</w:t>
      </w:r>
    </w:p>
    <w:p>
      <w:pPr>
        <w:ind w:firstLine="645"/>
        <w:rPr>
          <w:rFonts w:hint="default" w:ascii="仿宋_GB2312" w:hAnsi="宋体" w:eastAsia="仿宋_GB2312"/>
          <w:sz w:val="32"/>
          <w:szCs w:val="32"/>
          <w:lang w:val="en-US" w:eastAsia="zh-CN"/>
        </w:rPr>
      </w:pPr>
      <w:r>
        <w:rPr>
          <w:rFonts w:hint="eastAsia" w:ascii="仿宋_GB2312" w:hAnsi="宋体" w:eastAsia="仿宋_GB2312"/>
          <w:sz w:val="32"/>
          <w:szCs w:val="32"/>
        </w:rPr>
        <w:t>（三）国有资产占用情况</w:t>
      </w:r>
      <w:r>
        <w:rPr>
          <w:rFonts w:hint="eastAsia" w:ascii="仿宋_GB2312" w:hAnsi="宋体" w:eastAsia="仿宋_GB2312"/>
          <w:sz w:val="32"/>
          <w:szCs w:val="32"/>
          <w:lang w:val="en-US" w:eastAsia="zh-CN"/>
        </w:rPr>
        <w:t xml:space="preserve">   固定资产折旧后净值36.5万元</w:t>
      </w:r>
    </w:p>
    <w:p>
      <w:pPr>
        <w:ind w:firstLine="645"/>
        <w:rPr>
          <w:rFonts w:hint="default" w:ascii="仿宋_GB2312" w:hAnsi="宋体" w:eastAsia="仿宋_GB2312"/>
          <w:sz w:val="32"/>
          <w:szCs w:val="32"/>
          <w:lang w:val="en-US" w:eastAsia="zh-CN"/>
        </w:rPr>
      </w:pPr>
      <w:r>
        <w:rPr>
          <w:rFonts w:hint="eastAsia" w:ascii="仿宋_GB2312" w:hAnsi="宋体" w:eastAsia="仿宋_GB2312"/>
          <w:sz w:val="32"/>
          <w:szCs w:val="32"/>
        </w:rPr>
        <w:t>（四）预算绩效情况</w:t>
      </w:r>
      <w:r>
        <w:rPr>
          <w:rFonts w:hint="eastAsia" w:ascii="仿宋_GB2312" w:hAnsi="宋体" w:eastAsia="仿宋_GB2312"/>
          <w:sz w:val="32"/>
          <w:szCs w:val="32"/>
          <w:lang w:val="en-US" w:eastAsia="zh-CN"/>
        </w:rPr>
        <w:t xml:space="preserve">       无预算绩效 </w:t>
      </w:r>
    </w:p>
    <w:p>
      <w:pPr>
        <w:ind w:firstLine="645"/>
        <w:rPr>
          <w:rFonts w:hint="eastAsia" w:ascii="仿宋_GB2312" w:hAnsi="宋体" w:eastAsia="仿宋_GB2312"/>
          <w:sz w:val="32"/>
          <w:szCs w:val="32"/>
        </w:rPr>
      </w:pPr>
    </w:p>
    <w:p>
      <w:pPr>
        <w:rPr>
          <w:rFonts w:hint="eastAsia" w:ascii="仿宋_GB2312" w:hAnsi="宋体" w:eastAsia="仿宋_GB2312"/>
          <w:sz w:val="32"/>
          <w:szCs w:val="32"/>
        </w:rPr>
      </w:pPr>
      <w:r>
        <w:rPr>
          <w:rFonts w:ascii="仿宋_GB2312" w:hAnsi="宋体" w:eastAsia="仿宋_GB2312"/>
          <w:sz w:val="32"/>
          <w:szCs w:val="32"/>
        </w:rPr>
        <w:br w:type="page"/>
      </w:r>
    </w:p>
    <w:p>
      <w:pPr>
        <w:jc w:val="center"/>
        <w:rPr>
          <w:rFonts w:hint="eastAsia" w:ascii="宋体" w:hAnsi="宋体"/>
          <w:b/>
          <w:sz w:val="36"/>
          <w:szCs w:val="36"/>
        </w:rPr>
      </w:pPr>
      <w:r>
        <w:rPr>
          <w:rFonts w:hint="eastAsia" w:ascii="宋体" w:hAnsi="宋体"/>
          <w:b/>
          <w:sz w:val="36"/>
          <w:szCs w:val="36"/>
        </w:rPr>
        <w:t>第四部分 名词解释</w:t>
      </w:r>
    </w:p>
    <w:p>
      <w:pPr>
        <w:jc w:val="center"/>
        <w:rPr>
          <w:rFonts w:hint="eastAsia" w:ascii="黑体" w:eastAsia="黑体"/>
          <w:sz w:val="36"/>
          <w:szCs w:val="36"/>
        </w:rPr>
      </w:pPr>
    </w:p>
    <w:p>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2.行政事业性收费收入：</w:t>
      </w:r>
      <w:r>
        <w:rPr>
          <w:rFonts w:hint="eastAsia" w:ascii="仿宋_GB2312" w:eastAsia="仿宋_GB2312"/>
          <w:sz w:val="32"/>
          <w:szCs w:val="32"/>
        </w:rPr>
        <w:t>指依据法律、行政法规、国务院有关规定、国务院财政部门会同价格主管部门共同发布的规章或者规定，省、自治区、直辖市人民政府财政部门会同价格主管部门共同发布的规定所收取的各项收费收入。</w:t>
      </w:r>
    </w:p>
    <w:p>
      <w:pPr>
        <w:ind w:firstLine="643" w:firstLineChars="200"/>
        <w:jc w:val="left"/>
        <w:rPr>
          <w:rFonts w:hint="eastAsia" w:ascii="仿宋_GB2312" w:eastAsia="仿宋_GB2312"/>
          <w:b/>
          <w:sz w:val="32"/>
          <w:szCs w:val="32"/>
        </w:rPr>
      </w:pPr>
      <w:bookmarkStart w:id="0" w:name="OLE_LINK1"/>
      <w:r>
        <w:rPr>
          <w:rFonts w:hint="eastAsia" w:ascii="仿宋_GB2312" w:eastAsia="仿宋_GB2312"/>
          <w:b/>
          <w:sz w:val="32"/>
          <w:szCs w:val="32"/>
        </w:rPr>
        <w:t>3.政府性基金收入</w:t>
      </w:r>
      <w:bookmarkEnd w:id="0"/>
      <w:r>
        <w:rPr>
          <w:rFonts w:hint="eastAsia" w:ascii="仿宋_GB2312" w:eastAsia="仿宋_GB2312"/>
          <w:b/>
          <w:sz w:val="32"/>
          <w:szCs w:val="32"/>
        </w:rPr>
        <w:t>：</w:t>
      </w:r>
      <w:r>
        <w:rPr>
          <w:rFonts w:hint="eastAsia" w:ascii="仿宋_GB2312" w:eastAsia="仿宋_GB2312"/>
          <w:sz w:val="32"/>
          <w:szCs w:val="32"/>
        </w:rPr>
        <w:t>反应各级政府及其所属部门根据法律、行政法规规定并经国务院或财政部批准，向公民、法人和其他组织征收的政府性基金，以及参照政府性基金管理或纳入基金预算、具有特定用途的财政资金。</w:t>
      </w:r>
    </w:p>
    <w:p>
      <w:pPr>
        <w:ind w:firstLine="643" w:firstLineChars="200"/>
        <w:jc w:val="left"/>
        <w:rPr>
          <w:rFonts w:hint="eastAsia" w:ascii="仿宋_GB2312" w:eastAsia="仿宋_GB2312"/>
          <w:sz w:val="32"/>
          <w:szCs w:val="32"/>
        </w:rPr>
      </w:pPr>
      <w:r>
        <w:rPr>
          <w:rFonts w:hint="eastAsia" w:ascii="仿宋_GB2312" w:eastAsia="仿宋_GB2312"/>
          <w:b/>
          <w:sz w:val="32"/>
          <w:szCs w:val="32"/>
        </w:rPr>
        <w:t>4.其他收入：</w:t>
      </w:r>
      <w:r>
        <w:rPr>
          <w:rFonts w:hint="eastAsia" w:ascii="仿宋_GB2312" w:eastAsia="仿宋_GB2312"/>
          <w:sz w:val="32"/>
          <w:szCs w:val="32"/>
        </w:rPr>
        <w:t>指除上述“财政拨款收入”、“行政事业性收费收入”、“政府性基金收入”以外的收入。</w:t>
      </w:r>
    </w:p>
    <w:p>
      <w:pPr>
        <w:ind w:firstLine="643" w:firstLineChars="200"/>
        <w:jc w:val="left"/>
        <w:rPr>
          <w:rFonts w:hint="eastAsia" w:ascii="仿宋_GB2312" w:eastAsia="仿宋_GB2312"/>
          <w:sz w:val="32"/>
          <w:szCs w:val="32"/>
        </w:rPr>
      </w:pPr>
      <w:r>
        <w:rPr>
          <w:rFonts w:hint="eastAsia" w:ascii="仿宋_GB2312" w:eastAsia="仿宋_GB2312"/>
          <w:b/>
          <w:sz w:val="32"/>
          <w:szCs w:val="32"/>
        </w:rPr>
        <w:t>5.基本支出：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6.项目支出：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hint="eastAsia" w:ascii="仿宋_GB2312" w:eastAsia="仿宋_GB2312"/>
          <w:b/>
          <w:sz w:val="32"/>
          <w:szCs w:val="32"/>
        </w:rPr>
      </w:pPr>
    </w:p>
    <w:p/>
    <w:sectPr>
      <w:footerReference r:id="rId3" w:type="default"/>
      <w:footerReference r:id="rId4" w:type="even"/>
      <w:pgSz w:w="16838" w:h="11906"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7</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6F7B72"/>
    <w:multiLevelType w:val="singleLevel"/>
    <w:tmpl w:val="4A6F7B72"/>
    <w:lvl w:ilvl="0" w:tentative="0">
      <w:start w:val="2"/>
      <w:numFmt w:val="chineseCounting"/>
      <w:suff w:val="nothing"/>
      <w:lvlText w:val="（%1）"/>
      <w:lvlJc w:val="left"/>
      <w:rPr>
        <w:rFonts w:hint="eastAsia"/>
      </w:rPr>
    </w:lvl>
  </w:abstractNum>
  <w:abstractNum w:abstractNumId="1">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C0B4A3A"/>
    <w:multiLevelType w:val="singleLevel"/>
    <w:tmpl w:val="7C0B4A3A"/>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ZTY1OWI2ODJiYzlkNjE3MzRmMTIxZWZkNDUzZDIifQ=="/>
  </w:docVars>
  <w:rsids>
    <w:rsidRoot w:val="46F8055D"/>
    <w:rsid w:val="094A386A"/>
    <w:rsid w:val="408530C3"/>
    <w:rsid w:val="46F8055D"/>
    <w:rsid w:val="5600267C"/>
    <w:rsid w:val="65BA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2020-12-31T07:50:00Z</dcterms:created>
  <dc:creator>平安是福</dc:creator>
  <cp:lastModifiedBy>PC</cp:lastModifiedBy>
  <dcterms:modified xsi:type="dcterms:W3CDTF">2024-01-23T01:22:29Z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0F26881D112849069DCDA7DA82AF5B99</vt:lpwstr>
  </property>
</Properties>
</file>